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8324689dc492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11871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ANTUNA MIHANOVIĆA PETROPOLJSKOG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3.781.718,00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3.997.777,81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3.749.686,71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4.220.385,69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222.607,88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48.528,56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46.749,97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48.528,56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46.749,97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16.497,27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269.357,85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1632,7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razdoblju od 1. siječnja do 31. prosinca 2025. ukupni prihodi poslovanja iznose 3.997.777,81 EUR, što predstavlja rast od 5,7% u odnosu na isto razdoblje prošle godine (3.781.718,00 eura). Rashodi poslovanja u istom razdoblju iznose 4.220.385,69 EUR, što je porast od 12,6 % u odnosu na prethodnu godinu (3.749.686,71 eura). U skladu s odredbama Pravilnika o proračunskom računovodstvu i računskom planu (NN 158/23 i 154/24), čl. 233. podskupina računa 193 Kontinuirani rashodi budućih razdoblja ukida se s danom 1. siječnja 2025. godine. Početno stanje kontinuiranih rashoda budućih razdoblja prenosi se na odgovarajuće račune razreda 3 Rashodi poslovanja. Ova promjena u računovodstvenoj politici znači ukidanje vremenskog razgraničenja prihoda i rashoda, pri čemu se svi rashodi priznaju u razdoblju nastanka, a prihodi isključivo po načelu naplate. Takav način evidentiranja izravno utječe na strukturu i iznose iskazanih stavki u financijskom izvještaju, posebno na rezultat poslovanja za tekuće razdoblje. U izvještajnom razdoblju 2025. godine, kao posljedica navedenih promjena, ostvaren je manjak prihoda i primitaka u odnosu na rashode i izdatke u iznosu od 269.357,85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 kraja izvještajnog razdoblja imali smo donaciju ŠRD Miljevci za opremanje posebog razrednog odjela za djecu s 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2.374.517,70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2.734.528,90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zaposlene obuhvaćaju bruto plaće, naknade i druga materijalna prava zaposlenika (redovni zaposlenici i pomoćnici u nastavi) u skladu s kolektivnim ugovorima i posebnim propisima. U tekućem razdoblju zabilježen je rast rashoda za zaposlene od 15,2% u odnosu na prethodnu godinu, što je posljedica povećanja plaća, isplate određenih materijalnih prava te redovitih usklađenja sukladno važećim propisima. U rashode tekuće godine uključen je i obračun plaće za mjesec prosinac, čija će isplata biti izvršena u siječnju, u skladu s važećim računovodstvenim načelima prema kojima se rashodi priznaju u razdoblju nastanka, neovisno o datumu isplate.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Značajnije odstupanje u odnosu na isto razdoblje prošle godine zbog zapošljavanja novog domara i obnove dotrajale zaštitne, radne opreme već zaposlenim spremačicama i domarima.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26.511,61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44.174,63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Zabilježen značajan porast u odnosu na isto razdoblje prošle godine zbog dotrajalosti pojedinih školskih objekata koji su zahtijevali hitne intervencije.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13.379,44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1724,3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Prema Temeljnom kolektivnom ugovoru za zaposlenike u javnim službama koji su sklopili između ostalog i sindikati osnovnih škola i Vlada RH svi zaposlenici do 50 godina starosti svake 3 godine, a zaposlenici iznad 50 godina starosti svake 2 godine imaju pravo na sistematski pregled u vrijednosti od 160,00 eura. Kako se u prethodnim razdobljima ovo pravo nije koristilo zbog nedovoljnih sredstva dodijeljenih u izvoru 1201 OŠ Sredstva za DEC funkcije, škola je zbog opaske sindikata, a u dogovoru s osnivačem odlučila kroz 2025. financirati sistematske preglede za dio zaposlenika. Iz svega navedenog dolazi do značajnog povećanja na ovoj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5.848,37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11.714,02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200,3</w:t>
            </w:r>
          </w:p>
        </w:tc>
      </w:tr>
    </w:tbl>
    <w:p>
      <w:pPr>
        <w:spacing w:before="0" w:after="0"/>
      </w:pPr>
    </w:p>
    <w:p>
      <w:r>
        <w:t xml:space="preserve">Značajnije odstupanje u odnosu na isto razdoblje prošle godine zbog obveze financiranja dokumenta za Procjenu postojećeg stanja i analize rizika te Planove sigurnosti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8.051,53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Navedena stavka odnosi se na naknadu zbog nezapošljavanja osoba sa invaliditetom. Kako je u 2025. g. zaposlen potreban broj osoba s invaliditetom nismo u obvezi više plaćati navedenu naknadu te imamo smanjenje u za 82%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4.424,90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6.088,77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Navedena stavka odnosi se na troškove natjecanja učenika financirana iz izvora 1100 ŠKŽ Opći prihodi i primici i potrošena u dogovoru s Osnivačem.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Odnosi na sredstva od MZOM za prijevoz i didaktičku opremu učenicima sa teškoćama u razvoju. Navedena stavka je povećana u odnosu na prošlu godinu zbog novog učenika s teškoćama u razvoju čiji je putni trošak značajno veći od ostale djece koja imaju navedeno pravo.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263.055,12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Prema članku 161. st. 3. novog Pravilnika o proračunskom računovodstvu od 01.01.2025., proračunski korisnik drugog proračuna koji prima pomoć od proračuna koji mu nije nadležan temeljem izdanog akta (odluke, rješenja i slično) evidentira odgovarajući osnovni račun obračunatih prihoda u odjeljku 96 te zbog navedenog i imamo značajno odstupanje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Navedeni prihod odnosi se na sredstva za voditelje županijskih stručnih vijeća. U istom razdoblju prošle godine smo imali dva voditelja županijskog stručnog vijeća, u 2025. g. samo jednog te je zbog navedenog ostvaren pad prihoda od 56,9%.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4.414,40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Ovakav trošak kao i trošak pomoći kod bolesti duže od 90 dana ili za novorođeno dijete nije moguće planirati te su na navedenim stavkama nerijetko značajna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od 01.01.2025. do 31.12.2025. smo imali jednu isplatu ugovora o djelu dok u istom razdoblju prošle godine navedenog troška nije bilo.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272.497,46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2845,0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Prema novom Pravilniku o proračunskom računovodstvu i Računskom planu, podaci o prihodima prate se po obračunskoj osnovi evidentiranjem potraživanja i obračunatih prihoda preko podskupina 16 i 96 računskog plana što u prethodnim razdobljima nije evidentiramo te zbog navednog dolazi do značajnijeg odstupanja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Navedena stavka predstavlja potraživanja za izdane, a nenaplaćene račune za najam dvorane i najma prostora za tople i hladne napitke.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250.995,81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 U skladu s odredbama Pravilnika o proračunskom računovodstvu i računskom planu (NN 158/23 i 154/24), čl. 233. podskupina računa 193 Kontinuirani rashodi budućih razdoblja ukida se s danom 1. siječnja 2025. godine. Početno stanje kontinuiranih rashoda budućih razdoblja prenosi se na odgovarajuće račune razreda 3 Rashodi poslovanja. Ova promjena u računovodstvenoj politici znači ukidanje vremenskog razgraničenja prihoda i rashoda, pri čemu se svi rashodi priznaju u razdoblju nastanka, a prihodi isključivo po načelu naplate. Takav način evidentiranja izravno utječe na strukturu i iznose iskazanih stavki u financijskom izvještaju, posebno na rezultat poslovanja za tekuće razdoblje.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263.055,12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Prema članku 161. st. 3. novog Pravilnika o proračunskom računovodstvu od 01.01.2025., proračunski korisnik drugog proračuna koji prima pomoć od proračuna koji mu nije nadležan temeljem izdanog akta (odluke, rješenja i slično) evidentira odgovarajući osnovni račun obračunatih prihoda u odjeljku 96 te zbog navedenog i imamo značajno odstupanje u odnosu na prošlu godinu kod koje nismo isto evidentirali.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Prilikom prijenosa početnog stanja sa 1.1.2025. godine, stanja predujmova i sličnih obveza koje imaju školske i predškolske ustanove trebalo je prenijeti na nove račune skupine 27. Novim Pravilnikom uveden je novi osnovni račun 27612 Obveze proračunskih korisnika za povrat u proračun - bolovanje HZZO. Stanje 31.12.2024. godine sa 23958 Obveze proračunskih korisnika za povrat u proračun koji se odnosi na bolovanje prema HZZO-u trebalo</w:t>
      </w:r>
      <w:r>
        <w:br/>
      </w:r>
      <w:r>
        <w:t xml:space="preserve">je prenijeti u početnom stanju 1.1.2025. godine na 27612 Obveze proračunskih korisnika za povrat u proračun - bolovanje HZZO.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3.798.215,27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3.802.873,98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 Osnovne škole rashode povezane uz obrazovanje prikazuju na funkciji 0912 Osnovno obrazovanje, dok se troškovi prehrane i prijevoza djece iskazuju u okviru funkcije 096 Dodatne usluge u obrazovanju. Izvještaj o rashodima prema funkcijskoj klasifikaciji sadržava rashode poslovanja (razred 3) i rashode za nabavu nefinancijske imovine (razred 4) razvrstane prema funkciji za koju su utrošeni, dok se izdaci za financijsku imovinu i obveze ne razvrstavaju</w:t>
      </w:r>
      <w:r>
        <w:br/>
      </w:r>
      <w:r>
        <w:t xml:space="preserve">funkcijski, a time ni ne uključuju u ovaj izvještaj.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464.261,68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Obuhvaćaju rashode prijevoza, hrane, smještaja, medicinske i stomatološke njege te ostale rashode sličnih dopunskih usluga namijenjenih prvenstveno za učenike odnosno korisnike usluga obrazovanja.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92.666,33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Značajna novina u novom Pravilniku o proračunskom računovodstvu i Računskom planu je da se ispravak vrijednosti dugotrajne nefinancijske imovine provodi preko promjena u vrijednosti imovine, odnosno preko osnovnog računa 91511, kako je propisano čl. 121. novog Pravilnika te zbog navedenog imamo smanjenje vrijednosti dugotrajne nefinancijske imovine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4.049.621,90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Ovaj podatak predstavalja potražni promet računa obveza razreda 2 Obveze, za razdoblje 2.siječnja do 31. prosinca 2025. godine (bez početnog stanja) umanjeno za skupinu 29 Pasivna vremenska razgraničenja.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4.030.215,16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Ovaj podatak predstavlja dugovni promet računa obveza razreda 2 Obveze,  za razdoblje 2.siječnja do 31. prosinca 2025. godine, umanjeno za skupinu 29 Pasivna vremenska razgraničenja (bez početnog stanja).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302.832,50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Podatak o stanju obveza na kraju izvještajnog razdoblja (Šifra V006) predstavlja ukupan iznos obveza na kraju izvještajnog razdoblja koje na 31. prosinca 2025. nisu podmirene odnosno plaćene.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dospjelih obveza na kraju izvještajnog razdoblja odnosi se isključivo na obveze čije je dospijeće bilo 31. prosinca 2025. ili ranije. Takvih u izvještajnom razdoblju nismo imali.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302.832,50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nedospjelih obveza na kraju izvještajnog razdoblja čine obveze nastale zaključno s 31. prosinca 2025., ali nisu dospjele do 31. prosinca 2025. U ovaj podatak unose se obveze za plaću za prosinac 2025. godine koja dospijeva u siječnju 2026., obveze proračunskih korisnika za povrat u proračun na računu 27611 – primjerice za više uplaćena sredstva osnivača i sl., obveze proračunskih korisnika za povrat u proračun – bolovanje HZZO - na računu 27612 koje dospijeva tek nakon uplate HZZO-a odnosno obavijesti iz Državne riznice o međusobnom prebijanju – kompenzaciji sa potraživanjima od HZZO-a za bolovanje preko 42 dana i sl., te stanje svih ostalih obveza za međusobne obveze subjekata općeg proračuna, obveze za rashode poslovanja, obveze za nabavu nefinancijske imovine, obveze za financijsku imovinu ukoliko ih školska ustanova ima i nova skupina 27 Obveze za predujmove, depozite, jamčevne pologe i tuđe prihode čije dospijeće plaćanja je u 2026. godini ili kasnije. Podatak koji se unosi predstavlja potražni saldo računa obveza na 31. prosinca 2025. koji dospijeva na plaćanje u budućim razdobljima.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a9c1cecbd64927" /></Relationships>
</file>