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83CC" w14:textId="078B04F5" w:rsidR="00E3050E" w:rsidRPr="00EF793E" w:rsidRDefault="004B2A08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OBRAZLOŽENJE UZ </w:t>
      </w:r>
      <w:r w:rsidR="00AB29FB">
        <w:rPr>
          <w:rFonts w:ascii="Arial" w:hAnsi="Arial" w:cs="Arial"/>
          <w:b/>
          <w:sz w:val="24"/>
          <w:szCs w:val="24"/>
        </w:rPr>
        <w:t>POLU</w:t>
      </w:r>
      <w:r w:rsidRPr="00EF793E">
        <w:rPr>
          <w:rFonts w:ascii="Arial" w:hAnsi="Arial" w:cs="Arial"/>
          <w:b/>
          <w:sz w:val="24"/>
          <w:szCs w:val="24"/>
        </w:rPr>
        <w:t xml:space="preserve">GODIŠNJI IZVJEŠTAJ O IZVRŠENJU </w:t>
      </w:r>
    </w:p>
    <w:p w14:paraId="02640B7F" w14:textId="4D856621" w:rsidR="00A73551" w:rsidRPr="00EF793E" w:rsidRDefault="004B2A08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FINANCIJSKOG PLANA OSNOVNE ŠKOLE </w:t>
      </w:r>
      <w:r w:rsidR="003311F2" w:rsidRPr="00EF793E">
        <w:rPr>
          <w:rFonts w:ascii="Arial" w:hAnsi="Arial" w:cs="Arial"/>
          <w:b/>
          <w:sz w:val="24"/>
          <w:szCs w:val="24"/>
        </w:rPr>
        <w:t>ANTUNA MIHANOVIĆA PETROPOLJSKOG</w:t>
      </w:r>
      <w:r w:rsidRPr="00EF793E">
        <w:rPr>
          <w:rFonts w:ascii="Arial" w:hAnsi="Arial" w:cs="Arial"/>
          <w:b/>
          <w:sz w:val="24"/>
          <w:szCs w:val="24"/>
        </w:rPr>
        <w:t xml:space="preserve"> DRNIŠ ZA 202</w:t>
      </w:r>
      <w:r w:rsidR="00AD21B3">
        <w:rPr>
          <w:rFonts w:ascii="Arial" w:hAnsi="Arial" w:cs="Arial"/>
          <w:b/>
          <w:sz w:val="24"/>
          <w:szCs w:val="24"/>
        </w:rPr>
        <w:t>5</w:t>
      </w:r>
      <w:r w:rsidRPr="00EF793E">
        <w:rPr>
          <w:rFonts w:ascii="Arial" w:hAnsi="Arial" w:cs="Arial"/>
          <w:b/>
          <w:sz w:val="24"/>
          <w:szCs w:val="24"/>
        </w:rPr>
        <w:t>. GODINU</w:t>
      </w:r>
    </w:p>
    <w:p w14:paraId="72CCE5B8" w14:textId="72460D53" w:rsidR="006D3755" w:rsidRPr="00EF793E" w:rsidRDefault="006D3755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A2803" w14:textId="7AE5E3DB" w:rsidR="006D3755" w:rsidRPr="00EF793E" w:rsidRDefault="006D3755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ECA552" w14:textId="77777777" w:rsidR="006D3755" w:rsidRPr="00EF793E" w:rsidRDefault="006D3755" w:rsidP="002819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SAŽETAK DJELOKRUGA RADA:</w:t>
      </w:r>
    </w:p>
    <w:p w14:paraId="45687129" w14:textId="77777777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8F1108" w14:textId="27C2ECC9" w:rsidR="006D3755" w:rsidRPr="00EF793E" w:rsidRDefault="00600FBD" w:rsidP="009B3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FBD">
        <w:rPr>
          <w:rFonts w:ascii="Arial" w:hAnsi="Arial" w:cs="Arial"/>
          <w:sz w:val="24"/>
          <w:szCs w:val="24"/>
        </w:rPr>
        <w:t xml:space="preserve">Osnovna škola </w:t>
      </w:r>
      <w:r>
        <w:rPr>
          <w:rFonts w:ascii="Arial" w:hAnsi="Arial" w:cs="Arial"/>
          <w:sz w:val="24"/>
          <w:szCs w:val="24"/>
        </w:rPr>
        <w:t>Antruna Mihanovića Petropoljskog</w:t>
      </w:r>
      <w:r w:rsidRPr="00600FBD">
        <w:rPr>
          <w:rFonts w:ascii="Arial" w:hAnsi="Arial" w:cs="Arial"/>
          <w:sz w:val="24"/>
          <w:szCs w:val="24"/>
        </w:rPr>
        <w:t xml:space="preserve"> je javna ustanova koja obavlja </w:t>
      </w:r>
      <w:r w:rsidR="009B3DA1">
        <w:rPr>
          <w:rFonts w:ascii="Arial" w:hAnsi="Arial" w:cs="Arial"/>
          <w:sz w:val="24"/>
          <w:szCs w:val="24"/>
        </w:rPr>
        <w:t xml:space="preserve">osnovnu djelatnost </w:t>
      </w:r>
      <w:r w:rsidRPr="00600FBD">
        <w:rPr>
          <w:rFonts w:ascii="Arial" w:hAnsi="Arial" w:cs="Arial"/>
          <w:sz w:val="24"/>
          <w:szCs w:val="24"/>
        </w:rPr>
        <w:t>odgoja i obrazovanja</w:t>
      </w:r>
      <w:r w:rsidR="009B3DA1">
        <w:rPr>
          <w:rFonts w:ascii="Arial" w:hAnsi="Arial" w:cs="Arial"/>
          <w:sz w:val="24"/>
          <w:szCs w:val="24"/>
        </w:rPr>
        <w:t xml:space="preserve"> </w:t>
      </w:r>
      <w:r w:rsidR="009B3DA1" w:rsidRPr="009B3DA1">
        <w:rPr>
          <w:rFonts w:ascii="Arial" w:hAnsi="Arial" w:cs="Arial"/>
          <w:sz w:val="24"/>
          <w:szCs w:val="24"/>
        </w:rPr>
        <w:t>sukladno odredbama</w:t>
      </w:r>
      <w:r w:rsidR="009B3DA1">
        <w:rPr>
          <w:rFonts w:ascii="Arial" w:hAnsi="Arial" w:cs="Arial"/>
          <w:sz w:val="24"/>
          <w:szCs w:val="24"/>
        </w:rPr>
        <w:t xml:space="preserve"> </w:t>
      </w:r>
      <w:r w:rsidR="009B3DA1" w:rsidRPr="009B3DA1">
        <w:rPr>
          <w:rFonts w:ascii="Arial" w:hAnsi="Arial" w:cs="Arial"/>
          <w:sz w:val="24"/>
          <w:szCs w:val="24"/>
        </w:rPr>
        <w:t>Zakona o odgoju i obrazovanju u osnovnoj i srednjoj školi te obavlja i vlastitu djelatnost zakupa</w:t>
      </w:r>
      <w:r w:rsidR="009B3DA1">
        <w:rPr>
          <w:rFonts w:ascii="Arial" w:hAnsi="Arial" w:cs="Arial"/>
          <w:sz w:val="24"/>
          <w:szCs w:val="24"/>
        </w:rPr>
        <w:t xml:space="preserve"> </w:t>
      </w:r>
      <w:r w:rsidR="009B3DA1" w:rsidRPr="009B3DA1">
        <w:rPr>
          <w:rFonts w:ascii="Arial" w:hAnsi="Arial" w:cs="Arial"/>
          <w:sz w:val="24"/>
          <w:szCs w:val="24"/>
        </w:rPr>
        <w:t>poslovnog prostora, odnosno školske dvorane.</w:t>
      </w:r>
      <w:r w:rsidRPr="00600FBD">
        <w:rPr>
          <w:rFonts w:ascii="Arial" w:hAnsi="Arial" w:cs="Arial"/>
          <w:sz w:val="24"/>
          <w:szCs w:val="24"/>
        </w:rPr>
        <w:t xml:space="preserve"> </w:t>
      </w:r>
      <w:r w:rsidR="006D3755" w:rsidRPr="00EF793E">
        <w:rPr>
          <w:rFonts w:ascii="Arial" w:hAnsi="Arial" w:cs="Arial"/>
          <w:sz w:val="24"/>
          <w:szCs w:val="24"/>
        </w:rPr>
        <w:t>Škola pruža osnovno obrazovanje od 1. do 8. razreda na sedam lokacija u tri općine. Nastava je organizirana u jutarnjoj smjeni (A). U tekućoj školskoj godini školu pohađa 5</w:t>
      </w:r>
      <w:r w:rsidR="00AD21B3">
        <w:rPr>
          <w:rFonts w:ascii="Arial" w:hAnsi="Arial" w:cs="Arial"/>
          <w:sz w:val="24"/>
          <w:szCs w:val="24"/>
        </w:rPr>
        <w:t>35</w:t>
      </w:r>
      <w:r w:rsidR="006D3755" w:rsidRPr="00EF793E">
        <w:rPr>
          <w:rFonts w:ascii="Arial" w:hAnsi="Arial" w:cs="Arial"/>
          <w:sz w:val="24"/>
          <w:szCs w:val="24"/>
        </w:rPr>
        <w:t xml:space="preserve"> učenika u </w:t>
      </w:r>
      <w:r w:rsidR="00C4618E">
        <w:rPr>
          <w:rFonts w:ascii="Arial" w:hAnsi="Arial" w:cs="Arial"/>
          <w:sz w:val="24"/>
          <w:szCs w:val="24"/>
        </w:rPr>
        <w:t>49</w:t>
      </w:r>
      <w:r w:rsidR="006D61B5" w:rsidRPr="00EF793E">
        <w:rPr>
          <w:rFonts w:ascii="Arial" w:hAnsi="Arial" w:cs="Arial"/>
          <w:sz w:val="24"/>
          <w:szCs w:val="24"/>
        </w:rPr>
        <w:t xml:space="preserve"> odjeljenja. Škola ima cca 140</w:t>
      </w:r>
      <w:r w:rsidR="006D3755" w:rsidRPr="00EF793E">
        <w:rPr>
          <w:rFonts w:ascii="Arial" w:hAnsi="Arial" w:cs="Arial"/>
          <w:sz w:val="24"/>
          <w:szCs w:val="24"/>
        </w:rPr>
        <w:t xml:space="preserve"> djelatnika, od toga cca 95 nastavnog osoblja, ostatak je administrativno osoblje, teh</w:t>
      </w:r>
      <w:r w:rsidR="00512DB2">
        <w:rPr>
          <w:rFonts w:ascii="Arial" w:hAnsi="Arial" w:cs="Arial"/>
          <w:sz w:val="24"/>
          <w:szCs w:val="24"/>
        </w:rPr>
        <w:t>ničko osoblje te stručna služba i pomoćnici u nastavi za djecu s teškoćama u razvoju.</w:t>
      </w:r>
    </w:p>
    <w:p w14:paraId="078D3C5F" w14:textId="77777777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Prioritet škole je kvalitetno obrazovanje i odgoj učenika što ostvarujemo stalnim usavršavanjem nastavnog kadra, te podizanjem nastavnog kadra na višu razinu. Poticanje učenika na izražavanje kreativnosti, talenta i sposobnosti kroz uključivanje u slobodne aktivnosti, natjecanja i druge aktivnosti u projektima, priredbama i manifestacijama. Poticanje za sudjelovanja na sportskim aktivnostima, te uključivanje kroz natjecanja na školskoj razini i šire. Organiziranje zajedničkih aktivnosti učenika, roditelja te izvannastavnih aktivnosti, na organizaciji upoznavanja kulturne i duhovne baštine. Poticanje razvoja pozitivnih vrijednosti i natjecateljskog duha kroz razne nagrade najuspješnijim razredima, grupama i pojedincima.</w:t>
      </w:r>
    </w:p>
    <w:p w14:paraId="1A306C35" w14:textId="609B15D9" w:rsidR="004B2A08" w:rsidRPr="009B3DA1" w:rsidRDefault="006D3755" w:rsidP="009B3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Nastavni planovi se donose za školsku godinu, a ne za fiskalnu godinu, što je uzrok mnogim odstupanjima u izvršenju financijskog plana. Neke prihode iz državnog proračuna je teško planirati kao što je pomoć kod odlaska u mirovinu, pomoć kod bolesti ili za novorođeno dijete. Od prihoda za financiranje rashoda koji dobivamo iz županijskog proračuna kao prvo planiramo rashode za</w:t>
      </w:r>
      <w:r w:rsidR="001B0E07">
        <w:rPr>
          <w:rFonts w:ascii="Arial" w:hAnsi="Arial" w:cs="Arial"/>
          <w:sz w:val="24"/>
          <w:szCs w:val="24"/>
        </w:rPr>
        <w:t xml:space="preserve"> prijevoz učenika i lož ulje, </w:t>
      </w:r>
      <w:r w:rsidR="00281182">
        <w:rPr>
          <w:rFonts w:ascii="Arial" w:hAnsi="Arial" w:cs="Arial"/>
          <w:sz w:val="24"/>
          <w:szCs w:val="24"/>
        </w:rPr>
        <w:t>te</w:t>
      </w:r>
      <w:r w:rsidRPr="00EF793E">
        <w:rPr>
          <w:rFonts w:ascii="Arial" w:hAnsi="Arial" w:cs="Arial"/>
          <w:sz w:val="24"/>
          <w:szCs w:val="24"/>
        </w:rPr>
        <w:t xml:space="preserve"> energiju, komunalne naknade, telefonske troškove, pedagošku dokumentaciju, održavanje objekata, a nakon toga ostale rashode prema prioritetima funkcioniranja škole. Vlastiti prihodi čine sredstva od iznajmljivanja sportske dvorane</w:t>
      </w:r>
      <w:r w:rsidR="00281182">
        <w:rPr>
          <w:rFonts w:ascii="Arial" w:hAnsi="Arial" w:cs="Arial"/>
          <w:sz w:val="24"/>
          <w:szCs w:val="24"/>
        </w:rPr>
        <w:t xml:space="preserve"> i najma prostora za tople i hladne napitke,</w:t>
      </w:r>
      <w:r w:rsidRPr="00EF793E">
        <w:rPr>
          <w:rFonts w:ascii="Arial" w:hAnsi="Arial" w:cs="Arial"/>
          <w:sz w:val="24"/>
          <w:szCs w:val="24"/>
        </w:rPr>
        <w:t xml:space="preserve"> a koriste se za redovno poslovanje i minimalni standard</w:t>
      </w:r>
      <w:r w:rsidR="009B3DA1">
        <w:rPr>
          <w:rFonts w:ascii="Arial" w:hAnsi="Arial" w:cs="Arial"/>
          <w:sz w:val="24"/>
          <w:szCs w:val="24"/>
        </w:rPr>
        <w:t>.</w:t>
      </w:r>
    </w:p>
    <w:p w14:paraId="4EB3F077" w14:textId="77777777" w:rsidR="004B2A08" w:rsidRPr="00EF793E" w:rsidRDefault="004B2A08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lastRenderedPageBreak/>
        <w:t>UVOD</w:t>
      </w:r>
    </w:p>
    <w:p w14:paraId="5090A5C7" w14:textId="243C52B6" w:rsidR="002819B3" w:rsidRPr="00EF793E" w:rsidRDefault="004B2A08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Zakonom o proračunu (NN broj </w:t>
      </w:r>
      <w:r w:rsidR="00E3050E" w:rsidRPr="00EF793E">
        <w:rPr>
          <w:rFonts w:ascii="Arial" w:hAnsi="Arial" w:cs="Arial"/>
          <w:sz w:val="24"/>
          <w:szCs w:val="24"/>
        </w:rPr>
        <w:t>144/21</w:t>
      </w:r>
      <w:r w:rsidRPr="00EF793E">
        <w:rPr>
          <w:rFonts w:ascii="Arial" w:hAnsi="Arial" w:cs="Arial"/>
          <w:sz w:val="24"/>
          <w:szCs w:val="24"/>
        </w:rPr>
        <w:t xml:space="preserve">) </w:t>
      </w:r>
      <w:r w:rsidR="0019165C" w:rsidRPr="00EF793E">
        <w:rPr>
          <w:rFonts w:ascii="Arial" w:hAnsi="Arial" w:cs="Arial"/>
          <w:sz w:val="24"/>
          <w:szCs w:val="24"/>
        </w:rPr>
        <w:t>čl. 86 stavkom</w:t>
      </w:r>
      <w:r w:rsidR="00600FBD">
        <w:rPr>
          <w:rFonts w:ascii="Arial" w:hAnsi="Arial" w:cs="Arial"/>
          <w:sz w:val="24"/>
          <w:szCs w:val="24"/>
        </w:rPr>
        <w:t xml:space="preserve"> (1)</w:t>
      </w:r>
      <w:r w:rsidR="0019165C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propisana je obvez</w:t>
      </w:r>
      <w:r w:rsidR="008436CD" w:rsidRPr="00EF793E">
        <w:rPr>
          <w:rFonts w:ascii="Arial" w:hAnsi="Arial" w:cs="Arial"/>
          <w:sz w:val="24"/>
          <w:szCs w:val="24"/>
        </w:rPr>
        <w:t xml:space="preserve">a sastavljanja i podnošenja </w:t>
      </w:r>
      <w:r w:rsidR="00600FBD">
        <w:rPr>
          <w:rFonts w:ascii="Arial" w:hAnsi="Arial" w:cs="Arial"/>
          <w:sz w:val="24"/>
          <w:szCs w:val="24"/>
        </w:rPr>
        <w:t>polu</w:t>
      </w:r>
      <w:r w:rsidRPr="00EF793E">
        <w:rPr>
          <w:rFonts w:ascii="Arial" w:hAnsi="Arial" w:cs="Arial"/>
          <w:sz w:val="24"/>
          <w:szCs w:val="24"/>
        </w:rPr>
        <w:t xml:space="preserve">godišnjeg </w:t>
      </w:r>
      <w:r w:rsidR="008436CD" w:rsidRPr="00EF793E">
        <w:rPr>
          <w:rFonts w:ascii="Arial" w:hAnsi="Arial" w:cs="Arial"/>
          <w:sz w:val="24"/>
          <w:szCs w:val="24"/>
        </w:rPr>
        <w:t xml:space="preserve">izvještaja o </w:t>
      </w:r>
      <w:r w:rsidR="00432585" w:rsidRPr="00EF793E">
        <w:rPr>
          <w:rFonts w:ascii="Arial" w:hAnsi="Arial" w:cs="Arial"/>
          <w:sz w:val="24"/>
          <w:szCs w:val="24"/>
        </w:rPr>
        <w:t>izvršenju financijskog plana za proteklo razdoblje</w:t>
      </w:r>
      <w:r w:rsidR="00600FBD">
        <w:rPr>
          <w:rFonts w:ascii="Arial" w:hAnsi="Arial" w:cs="Arial"/>
          <w:sz w:val="24"/>
          <w:szCs w:val="24"/>
        </w:rPr>
        <w:t xml:space="preserve">, </w:t>
      </w:r>
      <w:r w:rsidR="00600FBD" w:rsidRPr="00600FBD">
        <w:rPr>
          <w:rFonts w:ascii="Arial" w:hAnsi="Arial" w:cs="Arial"/>
          <w:sz w:val="24"/>
          <w:szCs w:val="24"/>
        </w:rPr>
        <w:t>do 31. srpnja tekuće proračunske godine</w:t>
      </w:r>
      <w:r w:rsidR="00600FBD">
        <w:rPr>
          <w:rFonts w:ascii="Arial" w:hAnsi="Arial" w:cs="Arial"/>
          <w:sz w:val="24"/>
          <w:szCs w:val="24"/>
        </w:rPr>
        <w:t>,</w:t>
      </w:r>
      <w:r w:rsidR="00C141F0" w:rsidRPr="00EF793E">
        <w:rPr>
          <w:rFonts w:ascii="Arial" w:hAnsi="Arial" w:cs="Arial"/>
          <w:sz w:val="24"/>
          <w:szCs w:val="24"/>
        </w:rPr>
        <w:t xml:space="preserve"> </w:t>
      </w:r>
      <w:r w:rsidR="00827D5D" w:rsidRPr="00EF793E">
        <w:rPr>
          <w:rFonts w:ascii="Arial" w:hAnsi="Arial" w:cs="Arial"/>
          <w:sz w:val="24"/>
          <w:szCs w:val="24"/>
        </w:rPr>
        <w:t>na usvajanje</w:t>
      </w:r>
      <w:r w:rsidRPr="00EF793E">
        <w:rPr>
          <w:rFonts w:ascii="Arial" w:hAnsi="Arial" w:cs="Arial"/>
          <w:sz w:val="24"/>
          <w:szCs w:val="24"/>
        </w:rPr>
        <w:t xml:space="preserve"> </w:t>
      </w:r>
      <w:r w:rsidR="00682AD9" w:rsidRPr="00EF793E">
        <w:rPr>
          <w:rFonts w:ascii="Arial" w:hAnsi="Arial" w:cs="Arial"/>
          <w:sz w:val="24"/>
          <w:szCs w:val="24"/>
        </w:rPr>
        <w:t>Školskom odboru</w:t>
      </w:r>
      <w:r w:rsidRPr="00EF793E">
        <w:rPr>
          <w:rFonts w:ascii="Arial" w:hAnsi="Arial" w:cs="Arial"/>
          <w:sz w:val="24"/>
          <w:szCs w:val="24"/>
        </w:rPr>
        <w:t xml:space="preserve"> </w:t>
      </w:r>
      <w:r w:rsidR="008436CD" w:rsidRPr="00EF793E">
        <w:rPr>
          <w:rFonts w:ascii="Arial" w:hAnsi="Arial" w:cs="Arial"/>
          <w:sz w:val="24"/>
          <w:szCs w:val="24"/>
        </w:rPr>
        <w:t>Škole</w:t>
      </w:r>
      <w:r w:rsidRPr="00EF793E">
        <w:rPr>
          <w:rFonts w:ascii="Arial" w:hAnsi="Arial" w:cs="Arial"/>
          <w:sz w:val="24"/>
          <w:szCs w:val="24"/>
        </w:rPr>
        <w:t xml:space="preserve">. </w:t>
      </w:r>
    </w:p>
    <w:p w14:paraId="0B924F15" w14:textId="565D58FF" w:rsidR="002819B3" w:rsidRPr="00EF793E" w:rsidRDefault="00DB12CD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Na sadržaj </w:t>
      </w:r>
      <w:r w:rsidR="00600FBD">
        <w:rPr>
          <w:rFonts w:ascii="Arial" w:hAnsi="Arial" w:cs="Arial"/>
          <w:sz w:val="24"/>
          <w:szCs w:val="24"/>
        </w:rPr>
        <w:t>polu</w:t>
      </w:r>
      <w:r w:rsidR="00C141F0" w:rsidRPr="00EF793E">
        <w:rPr>
          <w:rFonts w:ascii="Arial" w:hAnsi="Arial" w:cs="Arial"/>
          <w:sz w:val="24"/>
          <w:szCs w:val="24"/>
        </w:rPr>
        <w:t>go</w:t>
      </w:r>
      <w:r w:rsidRPr="00EF793E">
        <w:rPr>
          <w:rFonts w:ascii="Arial" w:hAnsi="Arial" w:cs="Arial"/>
          <w:sz w:val="24"/>
          <w:szCs w:val="24"/>
        </w:rPr>
        <w:t>d</w:t>
      </w:r>
      <w:r w:rsidR="004B2A08" w:rsidRPr="00EF793E">
        <w:rPr>
          <w:rFonts w:ascii="Arial" w:hAnsi="Arial" w:cs="Arial"/>
          <w:sz w:val="24"/>
          <w:szCs w:val="24"/>
        </w:rPr>
        <w:t>išnjeg izvještaja o iz</w:t>
      </w:r>
      <w:r w:rsidRPr="00EF793E">
        <w:rPr>
          <w:rFonts w:ascii="Arial" w:hAnsi="Arial" w:cs="Arial"/>
          <w:sz w:val="24"/>
          <w:szCs w:val="24"/>
        </w:rPr>
        <w:t xml:space="preserve">vršenju financijskog plana </w:t>
      </w:r>
      <w:r w:rsidR="004B2A08" w:rsidRPr="00EF793E">
        <w:rPr>
          <w:rFonts w:ascii="Arial" w:hAnsi="Arial" w:cs="Arial"/>
          <w:sz w:val="24"/>
          <w:szCs w:val="24"/>
        </w:rPr>
        <w:t xml:space="preserve"> primjenjuje se odredba članka </w:t>
      </w:r>
      <w:r w:rsidR="0042690F" w:rsidRPr="00EF793E">
        <w:rPr>
          <w:rFonts w:ascii="Arial" w:hAnsi="Arial" w:cs="Arial"/>
          <w:sz w:val="24"/>
          <w:szCs w:val="24"/>
        </w:rPr>
        <w:t>81</w:t>
      </w:r>
      <w:r w:rsidR="004B2A08" w:rsidRPr="00EF793E">
        <w:rPr>
          <w:rFonts w:ascii="Arial" w:hAnsi="Arial" w:cs="Arial"/>
          <w:sz w:val="24"/>
          <w:szCs w:val="24"/>
        </w:rPr>
        <w:t xml:space="preserve">. stavka </w:t>
      </w:r>
      <w:r w:rsidRPr="00EF793E">
        <w:rPr>
          <w:rFonts w:ascii="Arial" w:hAnsi="Arial" w:cs="Arial"/>
          <w:sz w:val="24"/>
          <w:szCs w:val="24"/>
        </w:rPr>
        <w:t>1</w:t>
      </w:r>
      <w:r w:rsidR="004B2A08" w:rsidRPr="00EF793E">
        <w:rPr>
          <w:rFonts w:ascii="Arial" w:hAnsi="Arial" w:cs="Arial"/>
          <w:sz w:val="24"/>
          <w:szCs w:val="24"/>
        </w:rPr>
        <w:t>. Zakona o proračunu</w:t>
      </w:r>
      <w:r w:rsidR="00DC6478" w:rsidRPr="00EF793E">
        <w:rPr>
          <w:rFonts w:ascii="Arial" w:hAnsi="Arial" w:cs="Arial"/>
          <w:sz w:val="24"/>
          <w:szCs w:val="24"/>
        </w:rPr>
        <w:t>.</w:t>
      </w:r>
    </w:p>
    <w:p w14:paraId="19D538B9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Sukladno Pravilniku o polugodišnjem i godišnjem izvještaju o izvršenju proračuna i</w:t>
      </w:r>
    </w:p>
    <w:p w14:paraId="23EDC01D" w14:textId="64B51A9E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financijskog plana (NN 85/2023) koji je stupio na snagu 25. srpnja 2023. godine</w:t>
      </w:r>
      <w:r w:rsidR="00281182">
        <w:rPr>
          <w:rFonts w:ascii="Arial" w:hAnsi="Arial" w:cs="Arial"/>
          <w:sz w:val="24"/>
          <w:szCs w:val="24"/>
        </w:rPr>
        <w:t xml:space="preserve"> isti</w:t>
      </w:r>
      <w:r w:rsidRPr="00EF793E">
        <w:rPr>
          <w:rFonts w:ascii="Arial" w:hAnsi="Arial" w:cs="Arial"/>
          <w:sz w:val="24"/>
          <w:szCs w:val="24"/>
        </w:rPr>
        <w:t xml:space="preserve"> sadrži:</w:t>
      </w:r>
    </w:p>
    <w:p w14:paraId="72EFE722" w14:textId="0BD61927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OPĆI DIO</w:t>
      </w:r>
    </w:p>
    <w:p w14:paraId="7882F1F1" w14:textId="4589B11B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POSEBNI DIO</w:t>
      </w:r>
    </w:p>
    <w:p w14:paraId="5288AEA6" w14:textId="1D1EF4C9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</w:t>
      </w:r>
    </w:p>
    <w:p w14:paraId="1A827D99" w14:textId="06ED448A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POSEBNE IZVJEŠTAJE</w:t>
      </w:r>
    </w:p>
    <w:p w14:paraId="576B056C" w14:textId="77777777" w:rsidR="00EF793E" w:rsidRPr="00EF793E" w:rsidRDefault="00EF793E" w:rsidP="00EF793E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90DCF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1. </w:t>
      </w:r>
      <w:r w:rsidRPr="00EF793E">
        <w:rPr>
          <w:rFonts w:ascii="Arial" w:hAnsi="Arial" w:cs="Arial"/>
          <w:b/>
          <w:sz w:val="24"/>
          <w:szCs w:val="24"/>
        </w:rPr>
        <w:t>OPĆI DIO</w:t>
      </w:r>
      <w:r w:rsidRPr="00EF793E">
        <w:rPr>
          <w:rFonts w:ascii="Arial" w:hAnsi="Arial" w:cs="Arial"/>
          <w:sz w:val="24"/>
          <w:szCs w:val="24"/>
        </w:rPr>
        <w:t xml:space="preserve"> sadrži:</w:t>
      </w:r>
    </w:p>
    <w:p w14:paraId="2B336CA8" w14:textId="0B2EE948" w:rsidR="002819B3" w:rsidRPr="00EF793E" w:rsidRDefault="002819B3" w:rsidP="002819B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SAŽETAK RAČUNA PRIHODA I RASHODA I RAČUNA FINANCIRANJA</w:t>
      </w:r>
    </w:p>
    <w:p w14:paraId="6EDC342F" w14:textId="77777777" w:rsidR="002819B3" w:rsidRPr="00EF793E" w:rsidRDefault="002819B3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sadrži prikaz ukupno ostvarenih prihoda i primitaka te izvršenih rashoda i</w:t>
      </w:r>
    </w:p>
    <w:p w14:paraId="4F9B9E8B" w14:textId="17F3FFA5" w:rsidR="002819B3" w:rsidRPr="00EF793E" w:rsidRDefault="002819B3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izdataka na razini razreda ekonomske klasifikacije te razliku između ukupno ostvarenih prihoda i rashoda te primitaka i izdataka</w:t>
      </w:r>
    </w:p>
    <w:p w14:paraId="201E19F5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podatke o prijenosu sredstava iz prethodne godine i prijenosu sredstava u</w:t>
      </w:r>
    </w:p>
    <w:p w14:paraId="38E4507D" w14:textId="446E649E" w:rsidR="002819B3" w:rsidRPr="00EF793E" w:rsidRDefault="002819B3" w:rsidP="002819B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sljedeću godinu/razdoblje odnosno podatke o prenesenom višku odnosno  manjku iz prethodne godine i višku odnosno manjku za prijenos u sljedeću godinu/razdoblje.</w:t>
      </w:r>
    </w:p>
    <w:p w14:paraId="29F09BA9" w14:textId="5583C04D" w:rsidR="002819B3" w:rsidRPr="00EF793E" w:rsidRDefault="002819B3" w:rsidP="002819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RAČUN PRIHODA I RASHODA</w:t>
      </w:r>
    </w:p>
    <w:p w14:paraId="0E906A7B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prihodima i rashodima prema ekonomskoj klasifikaciji,</w:t>
      </w:r>
    </w:p>
    <w:p w14:paraId="55519A1E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prihodima i rashodima prema izvorima financiranja,</w:t>
      </w:r>
    </w:p>
    <w:p w14:paraId="36925BE6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rashodima prema funkcijskoj klasifikaciji.</w:t>
      </w:r>
    </w:p>
    <w:p w14:paraId="27DC48B8" w14:textId="217B9E2B" w:rsidR="002819B3" w:rsidRPr="00EF793E" w:rsidRDefault="002819B3" w:rsidP="002819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RAČUN FINANCIRANJA</w:t>
      </w:r>
    </w:p>
    <w:p w14:paraId="48DE7D3B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računa financiranja prema ekonomskoj klasifikaciji,</w:t>
      </w:r>
    </w:p>
    <w:p w14:paraId="65D6057F" w14:textId="58FB6CD5" w:rsidR="002819B3" w:rsidRDefault="002819B3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računa financiranja prema izvorima financiranja.</w:t>
      </w:r>
    </w:p>
    <w:p w14:paraId="408B112E" w14:textId="77777777" w:rsidR="00281182" w:rsidRPr="00EF793E" w:rsidRDefault="00281182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9DCB8D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2. </w:t>
      </w:r>
      <w:r w:rsidRPr="00EF793E">
        <w:rPr>
          <w:rFonts w:ascii="Arial" w:hAnsi="Arial" w:cs="Arial"/>
          <w:b/>
          <w:sz w:val="24"/>
          <w:szCs w:val="24"/>
        </w:rPr>
        <w:t>POSEBNI DIO</w:t>
      </w:r>
      <w:r w:rsidRPr="00EF793E">
        <w:rPr>
          <w:rFonts w:ascii="Arial" w:hAnsi="Arial" w:cs="Arial"/>
          <w:sz w:val="24"/>
          <w:szCs w:val="24"/>
        </w:rPr>
        <w:t xml:space="preserve"> – iskazuje se u izvještaju po PROGRAMSKOJ KLASIFIKACIJI koja</w:t>
      </w:r>
    </w:p>
    <w:p w14:paraId="6696C812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lastRenderedPageBreak/>
        <w:t>sadrži prikaz rashoda i izdataka iskazanih po izvorima financiranja i ekonomskoj</w:t>
      </w:r>
    </w:p>
    <w:p w14:paraId="0CA73EB1" w14:textId="12CB1AE2" w:rsidR="002819B3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klasifikaciji, raspoređenih u programe koji se sastoje od aktivnosti i projekata.</w:t>
      </w:r>
    </w:p>
    <w:p w14:paraId="14D310C5" w14:textId="77777777" w:rsidR="00281182" w:rsidRPr="00EF793E" w:rsidRDefault="00281182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E9CCFD" w14:textId="77777777" w:rsidR="002819B3" w:rsidRPr="00EF793E" w:rsidRDefault="002819B3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3. </w:t>
      </w:r>
      <w:r w:rsidRPr="00EF793E">
        <w:rPr>
          <w:rFonts w:ascii="Arial" w:hAnsi="Arial" w:cs="Arial"/>
          <w:b/>
          <w:sz w:val="24"/>
          <w:szCs w:val="24"/>
        </w:rPr>
        <w:t xml:space="preserve">OBRAZLOŽENJE </w:t>
      </w:r>
      <w:r w:rsidRPr="00EF793E">
        <w:rPr>
          <w:rFonts w:ascii="Arial" w:hAnsi="Arial" w:cs="Arial"/>
          <w:sz w:val="24"/>
          <w:szCs w:val="24"/>
        </w:rPr>
        <w:t>sadrži:</w:t>
      </w:r>
    </w:p>
    <w:p w14:paraId="1C69F3D5" w14:textId="6552122E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 OPĆEG DIJELA izvještaja koje sadrži:</w:t>
      </w:r>
    </w:p>
    <w:p w14:paraId="711CD552" w14:textId="0D893E91" w:rsidR="002819B3" w:rsidRPr="00EF793E" w:rsidRDefault="002819B3" w:rsidP="00EF793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ostvarenja prihoda i rashoda, primitaka i izdataka u izvještajnom razdoblju,</w:t>
      </w:r>
    </w:p>
    <w:p w14:paraId="342BB157" w14:textId="7F356746" w:rsidR="002819B3" w:rsidRPr="00EF793E" w:rsidRDefault="002819B3" w:rsidP="00EF793E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prenesenog manjka odnosno viška iz prethodne godine i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viška odnosno manjka za prijenos u sljedeću godinu/razdoblje.</w:t>
      </w:r>
    </w:p>
    <w:p w14:paraId="0B3F24C2" w14:textId="69E181F9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 POSEBNOG DIJELA izvještaja koje sadrži:</w:t>
      </w:r>
    </w:p>
    <w:p w14:paraId="1EF04B49" w14:textId="6664DBB9" w:rsidR="002819B3" w:rsidRDefault="002819B3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izvršenja aktivnosti i projekata zajedno s ciljevima koji su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ostvareni provedbom programa i pokazateljima uspješnosti realizacije tih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ciljeva koji se sastoje od pokazatelja učinka i pokazatelja rezultata</w:t>
      </w:r>
    </w:p>
    <w:p w14:paraId="464E27E4" w14:textId="77777777" w:rsidR="00281182" w:rsidRPr="00EF793E" w:rsidRDefault="00281182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EB14388" w14:textId="55C248E6" w:rsidR="002819B3" w:rsidRPr="00EF793E" w:rsidRDefault="00EF793E" w:rsidP="00EF793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4. POSEBNI IZVJEŠTAJI :</w:t>
      </w:r>
    </w:p>
    <w:p w14:paraId="11787C12" w14:textId="356531D4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zaduživanju na domaćem i stranom tržištu novca i kapitala,</w:t>
      </w:r>
    </w:p>
    <w:p w14:paraId="563C72D7" w14:textId="484FB14A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korištenju sredstava fondova Europske unije,</w:t>
      </w:r>
    </w:p>
    <w:p w14:paraId="680E73B3" w14:textId="205A1E8D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danim zajmovima i potraživanjima po danim zajmovima i</w:t>
      </w:r>
    </w:p>
    <w:p w14:paraId="6C8C2596" w14:textId="5DB63987" w:rsidR="00EF793E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stanju potraživanja i dospjelih obveza te o stanju potencijalnih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obveza po osnovi sudskih sporova.</w:t>
      </w:r>
    </w:p>
    <w:p w14:paraId="362952AE" w14:textId="77777777" w:rsidR="002819B3" w:rsidRPr="00EF793E" w:rsidRDefault="002819B3" w:rsidP="00EF793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– Posebni izvještaji mogu sadržavati i Izvještaj o danim jamstvima i plaćanjima po</w:t>
      </w:r>
    </w:p>
    <w:p w14:paraId="66B4E041" w14:textId="495B8C36" w:rsidR="00EF793E" w:rsidRDefault="002819B3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protestiranim jamstvima</w:t>
      </w:r>
      <w:r w:rsidR="00DC6478" w:rsidRPr="00EF793E">
        <w:rPr>
          <w:rFonts w:ascii="Arial" w:hAnsi="Arial" w:cs="Arial"/>
          <w:sz w:val="24"/>
          <w:szCs w:val="24"/>
        </w:rPr>
        <w:t xml:space="preserve"> </w:t>
      </w:r>
    </w:p>
    <w:p w14:paraId="581ED2ED" w14:textId="77777777" w:rsidR="00EF793E" w:rsidRPr="00EF793E" w:rsidRDefault="00EF793E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CFA716" w14:textId="5BFBC0CC" w:rsidR="006F74E8" w:rsidRPr="00EF793E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U skladu sa zakon</w:t>
      </w:r>
      <w:r w:rsidR="00977D7D" w:rsidRPr="00EF793E">
        <w:rPr>
          <w:rFonts w:ascii="Arial" w:hAnsi="Arial" w:cs="Arial"/>
          <w:sz w:val="24"/>
          <w:szCs w:val="24"/>
        </w:rPr>
        <w:t xml:space="preserve">skom obvezom, sastavljen je </w:t>
      </w:r>
      <w:r w:rsidR="00600FBD">
        <w:rPr>
          <w:rFonts w:ascii="Arial" w:hAnsi="Arial" w:cs="Arial"/>
          <w:sz w:val="24"/>
          <w:szCs w:val="24"/>
        </w:rPr>
        <w:t>polu</w:t>
      </w:r>
      <w:r w:rsidR="00827D5D" w:rsidRPr="00EF793E">
        <w:rPr>
          <w:rFonts w:ascii="Arial" w:hAnsi="Arial" w:cs="Arial"/>
          <w:sz w:val="24"/>
          <w:szCs w:val="24"/>
        </w:rPr>
        <w:t>g</w:t>
      </w:r>
      <w:r w:rsidR="00DC33C1" w:rsidRPr="00EF793E">
        <w:rPr>
          <w:rFonts w:ascii="Arial" w:hAnsi="Arial" w:cs="Arial"/>
          <w:sz w:val="24"/>
          <w:szCs w:val="24"/>
        </w:rPr>
        <w:t>odišnji izvještaj o izvršenju Fin</w:t>
      </w:r>
      <w:r w:rsidR="00F433E6" w:rsidRPr="00EF793E">
        <w:rPr>
          <w:rFonts w:ascii="Arial" w:hAnsi="Arial" w:cs="Arial"/>
          <w:sz w:val="24"/>
          <w:szCs w:val="24"/>
        </w:rPr>
        <w:t>ancijskog plana Osnovne škole Antuna Mihanovića Petropoljskog</w:t>
      </w:r>
      <w:r w:rsidR="00432585" w:rsidRPr="00EF793E">
        <w:rPr>
          <w:rFonts w:ascii="Arial" w:hAnsi="Arial" w:cs="Arial"/>
          <w:sz w:val="24"/>
          <w:szCs w:val="24"/>
        </w:rPr>
        <w:t xml:space="preserve">, </w:t>
      </w:r>
      <w:r w:rsidR="00DC33C1" w:rsidRPr="00EF793E">
        <w:rPr>
          <w:rFonts w:ascii="Arial" w:hAnsi="Arial" w:cs="Arial"/>
          <w:sz w:val="24"/>
          <w:szCs w:val="24"/>
        </w:rPr>
        <w:t xml:space="preserve">Drniš </w:t>
      </w:r>
      <w:r w:rsidRPr="00EF793E">
        <w:rPr>
          <w:rFonts w:ascii="Arial" w:hAnsi="Arial" w:cs="Arial"/>
          <w:sz w:val="24"/>
          <w:szCs w:val="24"/>
        </w:rPr>
        <w:t>za 202</w:t>
      </w:r>
      <w:r w:rsidR="00AD21B3">
        <w:rPr>
          <w:rFonts w:ascii="Arial" w:hAnsi="Arial" w:cs="Arial"/>
          <w:sz w:val="24"/>
          <w:szCs w:val="24"/>
        </w:rPr>
        <w:t>5</w:t>
      </w:r>
      <w:r w:rsidRPr="00EF793E">
        <w:rPr>
          <w:rFonts w:ascii="Arial" w:hAnsi="Arial" w:cs="Arial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EF793E">
        <w:rPr>
          <w:rFonts w:ascii="Arial" w:hAnsi="Arial" w:cs="Arial"/>
          <w:sz w:val="24"/>
          <w:szCs w:val="24"/>
        </w:rPr>
        <w:t xml:space="preserve">. </w:t>
      </w:r>
    </w:p>
    <w:p w14:paraId="3F49CFC8" w14:textId="5ECECF53" w:rsidR="004B2A08" w:rsidRPr="00EF793E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Financiranje rashoda </w:t>
      </w:r>
      <w:r w:rsidR="00F433E6" w:rsidRPr="00EF793E">
        <w:rPr>
          <w:rFonts w:ascii="Arial" w:hAnsi="Arial" w:cs="Arial"/>
          <w:sz w:val="24"/>
          <w:szCs w:val="24"/>
        </w:rPr>
        <w:t>Osnovne</w:t>
      </w:r>
      <w:r w:rsidR="00DC33C1" w:rsidRPr="00EF793E">
        <w:rPr>
          <w:rFonts w:ascii="Arial" w:hAnsi="Arial" w:cs="Arial"/>
          <w:sz w:val="24"/>
          <w:szCs w:val="24"/>
        </w:rPr>
        <w:t xml:space="preserve"> škole </w:t>
      </w:r>
      <w:r w:rsidR="00F433E6" w:rsidRPr="00EF793E">
        <w:rPr>
          <w:rFonts w:ascii="Arial" w:hAnsi="Arial" w:cs="Arial"/>
          <w:sz w:val="24"/>
          <w:szCs w:val="24"/>
        </w:rPr>
        <w:t>Antuna Mihanovića Petropoljskog</w:t>
      </w:r>
      <w:r w:rsidR="00432585" w:rsidRPr="00EF793E">
        <w:rPr>
          <w:rFonts w:ascii="Arial" w:hAnsi="Arial" w:cs="Arial"/>
          <w:sz w:val="24"/>
          <w:szCs w:val="24"/>
        </w:rPr>
        <w:t>,</w:t>
      </w:r>
      <w:r w:rsidR="00F433E6" w:rsidRPr="00EF793E">
        <w:rPr>
          <w:rFonts w:ascii="Arial" w:hAnsi="Arial" w:cs="Arial"/>
          <w:sz w:val="24"/>
          <w:szCs w:val="24"/>
        </w:rPr>
        <w:t xml:space="preserve"> </w:t>
      </w:r>
      <w:r w:rsidR="00DC33C1" w:rsidRPr="00EF793E">
        <w:rPr>
          <w:rFonts w:ascii="Arial" w:hAnsi="Arial" w:cs="Arial"/>
          <w:sz w:val="24"/>
          <w:szCs w:val="24"/>
        </w:rPr>
        <w:t xml:space="preserve">Drniš </w:t>
      </w:r>
      <w:r w:rsidRPr="00EF793E">
        <w:rPr>
          <w:rFonts w:ascii="Arial" w:hAnsi="Arial" w:cs="Arial"/>
          <w:sz w:val="24"/>
          <w:szCs w:val="24"/>
        </w:rPr>
        <w:t xml:space="preserve"> tijekom </w:t>
      </w:r>
      <w:r w:rsidR="00130439">
        <w:rPr>
          <w:rFonts w:ascii="Arial" w:hAnsi="Arial" w:cs="Arial"/>
          <w:sz w:val="24"/>
          <w:szCs w:val="24"/>
        </w:rPr>
        <w:t xml:space="preserve">prve polovice </w:t>
      </w:r>
      <w:r w:rsidRPr="00EF793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Pr="00EF793E">
        <w:rPr>
          <w:rFonts w:ascii="Arial" w:hAnsi="Arial" w:cs="Arial"/>
          <w:sz w:val="24"/>
          <w:szCs w:val="24"/>
        </w:rPr>
        <w:t xml:space="preserve">. godine izvršeno je temeljem </w:t>
      </w:r>
      <w:r w:rsidR="00DC33C1" w:rsidRPr="00EF793E">
        <w:rPr>
          <w:rFonts w:ascii="Arial" w:hAnsi="Arial" w:cs="Arial"/>
          <w:sz w:val="24"/>
          <w:szCs w:val="24"/>
        </w:rPr>
        <w:t>Financijskog plana</w:t>
      </w:r>
      <w:r w:rsidRPr="00EF793E">
        <w:rPr>
          <w:rFonts w:ascii="Arial" w:hAnsi="Arial" w:cs="Arial"/>
          <w:sz w:val="24"/>
          <w:szCs w:val="24"/>
        </w:rPr>
        <w:t xml:space="preserve"> za 202</w:t>
      </w:r>
      <w:r w:rsidR="00AD21B3">
        <w:rPr>
          <w:rFonts w:ascii="Arial" w:hAnsi="Arial" w:cs="Arial"/>
          <w:sz w:val="24"/>
          <w:szCs w:val="24"/>
        </w:rPr>
        <w:t>5</w:t>
      </w:r>
      <w:r w:rsidRPr="00EF793E">
        <w:rPr>
          <w:rFonts w:ascii="Arial" w:hAnsi="Arial" w:cs="Arial"/>
          <w:sz w:val="24"/>
          <w:szCs w:val="24"/>
        </w:rPr>
        <w:t>.</w:t>
      </w:r>
      <w:r w:rsidR="004D5259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godinu</w:t>
      </w:r>
      <w:r w:rsidR="007043A9" w:rsidRPr="00EF793E">
        <w:rPr>
          <w:rFonts w:ascii="Arial" w:hAnsi="Arial" w:cs="Arial"/>
          <w:sz w:val="24"/>
          <w:szCs w:val="24"/>
        </w:rPr>
        <w:t>,</w:t>
      </w:r>
      <w:r w:rsidR="004D5259" w:rsidRPr="00EF793E">
        <w:rPr>
          <w:rFonts w:ascii="Arial" w:hAnsi="Arial" w:cs="Arial"/>
          <w:sz w:val="24"/>
          <w:szCs w:val="24"/>
        </w:rPr>
        <w:t xml:space="preserve"> </w:t>
      </w:r>
      <w:r w:rsidR="00DC33C1" w:rsidRPr="00EF793E">
        <w:rPr>
          <w:rFonts w:ascii="Arial" w:hAnsi="Arial" w:cs="Arial"/>
          <w:sz w:val="24"/>
          <w:szCs w:val="24"/>
        </w:rPr>
        <w:t>usv</w:t>
      </w:r>
      <w:r w:rsidRPr="00EF793E">
        <w:rPr>
          <w:rFonts w:ascii="Arial" w:hAnsi="Arial" w:cs="Arial"/>
          <w:sz w:val="24"/>
          <w:szCs w:val="24"/>
        </w:rPr>
        <w:t>ojen</w:t>
      </w:r>
      <w:r w:rsidR="007043A9" w:rsidRPr="00EF793E">
        <w:rPr>
          <w:rFonts w:ascii="Arial" w:hAnsi="Arial" w:cs="Arial"/>
          <w:sz w:val="24"/>
          <w:szCs w:val="24"/>
        </w:rPr>
        <w:t>og</w:t>
      </w:r>
      <w:r w:rsidRPr="00EF793E">
        <w:rPr>
          <w:rFonts w:ascii="Arial" w:hAnsi="Arial" w:cs="Arial"/>
          <w:sz w:val="24"/>
          <w:szCs w:val="24"/>
        </w:rPr>
        <w:t xml:space="preserve"> na sjednici </w:t>
      </w:r>
      <w:r w:rsidR="00DC33C1" w:rsidRPr="00EF793E">
        <w:rPr>
          <w:rFonts w:ascii="Arial" w:hAnsi="Arial" w:cs="Arial"/>
          <w:sz w:val="24"/>
          <w:szCs w:val="24"/>
        </w:rPr>
        <w:t>Školskog odbora</w:t>
      </w:r>
      <w:r w:rsidRPr="00EF793E">
        <w:rPr>
          <w:rFonts w:ascii="Arial" w:hAnsi="Arial" w:cs="Arial"/>
          <w:sz w:val="24"/>
          <w:szCs w:val="24"/>
        </w:rPr>
        <w:t xml:space="preserve"> održanoj </w:t>
      </w:r>
      <w:r w:rsidR="00C444B3">
        <w:rPr>
          <w:rFonts w:ascii="Arial" w:hAnsi="Arial" w:cs="Arial"/>
          <w:sz w:val="24"/>
          <w:szCs w:val="24"/>
        </w:rPr>
        <w:t>1</w:t>
      </w:r>
      <w:r w:rsidR="00AD21B3">
        <w:rPr>
          <w:rFonts w:ascii="Arial" w:hAnsi="Arial" w:cs="Arial"/>
          <w:sz w:val="24"/>
          <w:szCs w:val="24"/>
        </w:rPr>
        <w:t>5</w:t>
      </w:r>
      <w:r w:rsidR="001A75BE" w:rsidRPr="00202004">
        <w:rPr>
          <w:rFonts w:ascii="Arial" w:hAnsi="Arial" w:cs="Arial"/>
          <w:sz w:val="24"/>
          <w:szCs w:val="24"/>
        </w:rPr>
        <w:t>.10.</w:t>
      </w:r>
      <w:r w:rsidR="003B1925" w:rsidRPr="00202004">
        <w:rPr>
          <w:rFonts w:ascii="Arial" w:hAnsi="Arial" w:cs="Arial"/>
          <w:sz w:val="24"/>
          <w:szCs w:val="24"/>
        </w:rPr>
        <w:t>2</w:t>
      </w:r>
      <w:r w:rsidR="00DC33C1" w:rsidRPr="00202004">
        <w:rPr>
          <w:rFonts w:ascii="Arial" w:hAnsi="Arial" w:cs="Arial"/>
          <w:sz w:val="24"/>
          <w:szCs w:val="24"/>
        </w:rPr>
        <w:t>0</w:t>
      </w:r>
      <w:r w:rsidRPr="00202004">
        <w:rPr>
          <w:rFonts w:ascii="Arial" w:hAnsi="Arial" w:cs="Arial"/>
          <w:sz w:val="24"/>
          <w:szCs w:val="24"/>
        </w:rPr>
        <w:t>2</w:t>
      </w:r>
      <w:r w:rsidR="00AD21B3">
        <w:rPr>
          <w:rFonts w:ascii="Arial" w:hAnsi="Arial" w:cs="Arial"/>
          <w:sz w:val="24"/>
          <w:szCs w:val="24"/>
        </w:rPr>
        <w:t>4</w:t>
      </w:r>
      <w:r w:rsidRPr="00202004">
        <w:rPr>
          <w:rFonts w:ascii="Arial" w:hAnsi="Arial" w:cs="Arial"/>
          <w:sz w:val="24"/>
          <w:szCs w:val="24"/>
        </w:rPr>
        <w:t xml:space="preserve">. </w:t>
      </w:r>
      <w:r w:rsidRPr="00EF793E">
        <w:rPr>
          <w:rFonts w:ascii="Arial" w:hAnsi="Arial" w:cs="Arial"/>
          <w:sz w:val="24"/>
          <w:szCs w:val="24"/>
        </w:rPr>
        <w:t>godine</w:t>
      </w:r>
      <w:r w:rsidR="00DC33C1" w:rsidRPr="00EF793E">
        <w:rPr>
          <w:rFonts w:ascii="Arial" w:hAnsi="Arial" w:cs="Arial"/>
          <w:sz w:val="24"/>
          <w:szCs w:val="24"/>
        </w:rPr>
        <w:t>.</w:t>
      </w:r>
      <w:r w:rsidR="004D5259" w:rsidRPr="00EF793E">
        <w:rPr>
          <w:rFonts w:ascii="Arial" w:hAnsi="Arial" w:cs="Arial"/>
          <w:sz w:val="24"/>
          <w:szCs w:val="24"/>
        </w:rPr>
        <w:t>, te temeljem</w:t>
      </w:r>
      <w:r w:rsidR="00202004">
        <w:rPr>
          <w:rFonts w:ascii="Arial" w:hAnsi="Arial" w:cs="Arial"/>
          <w:sz w:val="24"/>
          <w:szCs w:val="24"/>
        </w:rPr>
        <w:t xml:space="preserve"> I</w:t>
      </w:r>
      <w:r w:rsidR="00AD21B3">
        <w:rPr>
          <w:rFonts w:ascii="Arial" w:hAnsi="Arial" w:cs="Arial"/>
          <w:sz w:val="24"/>
          <w:szCs w:val="24"/>
        </w:rPr>
        <w:t xml:space="preserve">. </w:t>
      </w:r>
      <w:r w:rsidR="00202004" w:rsidRPr="00202004">
        <w:rPr>
          <w:rFonts w:ascii="Arial" w:hAnsi="Arial" w:cs="Arial"/>
          <w:sz w:val="24"/>
          <w:szCs w:val="24"/>
        </w:rPr>
        <w:t>izmjena i dopuna proračuna ŠKŽ za 202</w:t>
      </w:r>
      <w:r w:rsidR="00AD21B3">
        <w:rPr>
          <w:rFonts w:ascii="Arial" w:hAnsi="Arial" w:cs="Arial"/>
          <w:sz w:val="24"/>
          <w:szCs w:val="24"/>
        </w:rPr>
        <w:t>5</w:t>
      </w:r>
      <w:r w:rsidR="00202004" w:rsidRPr="00202004">
        <w:rPr>
          <w:rFonts w:ascii="Arial" w:hAnsi="Arial" w:cs="Arial"/>
          <w:sz w:val="24"/>
          <w:szCs w:val="24"/>
        </w:rPr>
        <w:t>.g.</w:t>
      </w:r>
    </w:p>
    <w:p w14:paraId="7607FAA4" w14:textId="14086C90" w:rsidR="004B2A08" w:rsidRDefault="00F433E6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lastRenderedPageBreak/>
        <w:t>Osnovna</w:t>
      </w:r>
      <w:r w:rsidR="00F36F13" w:rsidRPr="00EF793E">
        <w:rPr>
          <w:rFonts w:ascii="Arial" w:hAnsi="Arial" w:cs="Arial"/>
          <w:sz w:val="24"/>
          <w:szCs w:val="24"/>
        </w:rPr>
        <w:t xml:space="preserve"> škola </w:t>
      </w:r>
      <w:r w:rsidRPr="00EF793E">
        <w:rPr>
          <w:rFonts w:ascii="Arial" w:hAnsi="Arial" w:cs="Arial"/>
          <w:sz w:val="24"/>
          <w:szCs w:val="24"/>
        </w:rPr>
        <w:t xml:space="preserve">Antuna Mihanovića </w:t>
      </w:r>
      <w:r w:rsidR="00432585" w:rsidRPr="00EF793E">
        <w:rPr>
          <w:rFonts w:ascii="Arial" w:hAnsi="Arial" w:cs="Arial"/>
          <w:sz w:val="24"/>
          <w:szCs w:val="24"/>
        </w:rPr>
        <w:t xml:space="preserve">Petropoljskog, </w:t>
      </w:r>
      <w:r w:rsidRPr="00EF793E">
        <w:rPr>
          <w:rFonts w:ascii="Arial" w:hAnsi="Arial" w:cs="Arial"/>
          <w:sz w:val="24"/>
          <w:szCs w:val="24"/>
        </w:rPr>
        <w:t xml:space="preserve">Drniš </w:t>
      </w:r>
      <w:r w:rsidR="00F36F13" w:rsidRPr="00EF793E">
        <w:rPr>
          <w:rFonts w:ascii="Arial" w:hAnsi="Arial" w:cs="Arial"/>
          <w:sz w:val="24"/>
          <w:szCs w:val="24"/>
        </w:rPr>
        <w:t xml:space="preserve">od </w:t>
      </w:r>
      <w:r w:rsidR="00126006" w:rsidRPr="00EF793E">
        <w:rPr>
          <w:rFonts w:ascii="Arial" w:hAnsi="Arial" w:cs="Arial"/>
          <w:sz w:val="24"/>
          <w:szCs w:val="24"/>
        </w:rPr>
        <w:t>6.4</w:t>
      </w:r>
      <w:r w:rsidR="00F36F13" w:rsidRPr="00EF793E">
        <w:rPr>
          <w:rFonts w:ascii="Arial" w:hAnsi="Arial" w:cs="Arial"/>
          <w:sz w:val="24"/>
          <w:szCs w:val="24"/>
        </w:rPr>
        <w:t xml:space="preserve">.2021.g </w:t>
      </w:r>
      <w:r w:rsidR="004B2A08" w:rsidRPr="00EF793E">
        <w:rPr>
          <w:rFonts w:ascii="Arial" w:hAnsi="Arial" w:cs="Arial"/>
          <w:sz w:val="24"/>
          <w:szCs w:val="24"/>
        </w:rPr>
        <w:t xml:space="preserve">posluje putem jedinstvenog računa </w:t>
      </w:r>
      <w:r w:rsidR="00F36F13" w:rsidRPr="00EF793E">
        <w:rPr>
          <w:rFonts w:ascii="Arial" w:hAnsi="Arial" w:cs="Arial"/>
          <w:sz w:val="24"/>
          <w:szCs w:val="24"/>
        </w:rPr>
        <w:t xml:space="preserve">Županijske </w:t>
      </w:r>
      <w:r w:rsidR="004B2A08" w:rsidRPr="00EF793E">
        <w:rPr>
          <w:rFonts w:ascii="Arial" w:hAnsi="Arial" w:cs="Arial"/>
          <w:sz w:val="24"/>
          <w:szCs w:val="24"/>
        </w:rPr>
        <w:t xml:space="preserve">riznice, odnosno jedinstvenog bankovnog računa. Time su objedinjena plaćanja, primanja, čuvanja i prijenos svih prihoda i </w:t>
      </w:r>
      <w:r w:rsidRPr="00EF793E">
        <w:rPr>
          <w:rFonts w:ascii="Arial" w:hAnsi="Arial" w:cs="Arial"/>
          <w:sz w:val="24"/>
          <w:szCs w:val="24"/>
        </w:rPr>
        <w:t>primitaka te rashoda i izdataka.</w:t>
      </w:r>
    </w:p>
    <w:p w14:paraId="22397B40" w14:textId="77777777" w:rsidR="00281182" w:rsidRPr="00EF793E" w:rsidRDefault="00281182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42CD3F" w14:textId="77777777" w:rsidR="004B2A08" w:rsidRPr="00EF793E" w:rsidRDefault="004B2A08" w:rsidP="002819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IZVRŠENJE PRORAČUNA </w:t>
      </w:r>
      <w:r w:rsidR="00405089" w:rsidRPr="00EF793E">
        <w:rPr>
          <w:rFonts w:ascii="Arial" w:hAnsi="Arial" w:cs="Arial"/>
          <w:b/>
          <w:sz w:val="24"/>
          <w:szCs w:val="24"/>
        </w:rPr>
        <w:t>– OPĆI DIO</w:t>
      </w:r>
    </w:p>
    <w:p w14:paraId="2FC8CEAB" w14:textId="477CAAA4" w:rsidR="004B2A08" w:rsidRPr="00EF793E" w:rsidRDefault="00A42BD4" w:rsidP="00281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F</w:t>
      </w:r>
      <w:r w:rsidR="0089229F" w:rsidRPr="00EF793E">
        <w:rPr>
          <w:rFonts w:ascii="Arial" w:hAnsi="Arial" w:cs="Arial"/>
          <w:sz w:val="24"/>
          <w:szCs w:val="24"/>
        </w:rPr>
        <w:t xml:space="preserve">inancijski plan Osnovne </w:t>
      </w:r>
      <w:r w:rsidRPr="00EF793E">
        <w:rPr>
          <w:rFonts w:ascii="Arial" w:hAnsi="Arial" w:cs="Arial"/>
          <w:sz w:val="24"/>
          <w:szCs w:val="24"/>
        </w:rPr>
        <w:t xml:space="preserve">škole </w:t>
      </w:r>
      <w:r w:rsidR="0089229F" w:rsidRPr="00EF793E">
        <w:rPr>
          <w:rFonts w:ascii="Arial" w:hAnsi="Arial" w:cs="Arial"/>
          <w:sz w:val="24"/>
          <w:szCs w:val="24"/>
        </w:rPr>
        <w:t>Antuna Mihanovića Petropoljskog</w:t>
      </w:r>
      <w:r w:rsidR="00432585" w:rsidRPr="00EF793E">
        <w:rPr>
          <w:rFonts w:ascii="Arial" w:hAnsi="Arial" w:cs="Arial"/>
          <w:sz w:val="24"/>
          <w:szCs w:val="24"/>
        </w:rPr>
        <w:t>,</w:t>
      </w:r>
      <w:r w:rsidR="0089229F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 xml:space="preserve">Drniš </w:t>
      </w:r>
      <w:r w:rsidR="004B2A08" w:rsidRPr="00EF793E">
        <w:rPr>
          <w:rFonts w:ascii="Arial" w:hAnsi="Arial" w:cs="Arial"/>
          <w:sz w:val="24"/>
          <w:szCs w:val="24"/>
        </w:rPr>
        <w:t>za razdoblje od 01. siječnja do 3</w:t>
      </w:r>
      <w:r w:rsidR="00A21D49">
        <w:rPr>
          <w:rFonts w:ascii="Arial" w:hAnsi="Arial" w:cs="Arial"/>
          <w:sz w:val="24"/>
          <w:szCs w:val="24"/>
        </w:rPr>
        <w:t xml:space="preserve">0. lipnja </w:t>
      </w:r>
      <w:r w:rsidR="004B2A08" w:rsidRPr="00EF793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="004B2A08" w:rsidRPr="00EF793E">
        <w:rPr>
          <w:rFonts w:ascii="Arial" w:hAnsi="Arial" w:cs="Arial"/>
          <w:sz w:val="24"/>
          <w:szCs w:val="24"/>
        </w:rPr>
        <w:t>. godine ostvaren je kako slijedi:</w:t>
      </w:r>
    </w:p>
    <w:p w14:paraId="6BBA7849" w14:textId="0DE7C617" w:rsidR="00432585" w:rsidRPr="00EF793E" w:rsidRDefault="004B2A08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 SAŽETAK RAČUNA PRIHODA I RASHODA </w:t>
      </w:r>
    </w:p>
    <w:p w14:paraId="552F5FC2" w14:textId="38A218FF" w:rsidR="00432585" w:rsidRDefault="00F47A15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B701104" wp14:editId="6FE5812C">
            <wp:extent cx="5760720" cy="2642870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5CF72" w14:textId="77777777" w:rsidR="009B3DA1" w:rsidRPr="00EF793E" w:rsidRDefault="009B3DA1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308BD1" w14:textId="0A86B5F5" w:rsidR="00A8060F" w:rsidRPr="00EF793E" w:rsidRDefault="00A8060F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SAŽETAK RAČUNA FINANCIRANJA</w:t>
      </w:r>
    </w:p>
    <w:p w14:paraId="6AD111FD" w14:textId="3A67DA0A" w:rsidR="00A8060F" w:rsidRDefault="00F47A15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5104147" wp14:editId="58CCD41E">
            <wp:extent cx="5760720" cy="150939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448D" w14:textId="77777777" w:rsidR="002B7A36" w:rsidRDefault="002B7A36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935AB6" w14:textId="77777777" w:rsidR="002B7A36" w:rsidRDefault="002B7A36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713172" w14:textId="77777777" w:rsidR="002B7A36" w:rsidRDefault="002B7A36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248494" w14:textId="2DC54191" w:rsidR="002279B4" w:rsidRDefault="002B7A36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PRENESENI VIŠAK ILI PRENESENI MANJAK</w:t>
      </w:r>
    </w:p>
    <w:p w14:paraId="4C762A70" w14:textId="64345CAB" w:rsidR="002B7A36" w:rsidRPr="00EF793E" w:rsidRDefault="002B7A36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7A3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D3E98E" wp14:editId="0DC16840">
            <wp:extent cx="5760720" cy="1257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E4ED" w14:textId="73C7D2E9" w:rsidR="004B2A08" w:rsidRPr="00EF793E" w:rsidRDefault="004B2A08" w:rsidP="002B7A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Utvrđuje se da je u razdoblju od 01. siječnja do </w:t>
      </w:r>
      <w:r w:rsidR="00A21D49" w:rsidRPr="00EF793E">
        <w:rPr>
          <w:rFonts w:ascii="Arial" w:hAnsi="Arial" w:cs="Arial"/>
          <w:sz w:val="24"/>
          <w:szCs w:val="24"/>
        </w:rPr>
        <w:t>3</w:t>
      </w:r>
      <w:r w:rsidR="00A21D49">
        <w:rPr>
          <w:rFonts w:ascii="Arial" w:hAnsi="Arial" w:cs="Arial"/>
          <w:sz w:val="24"/>
          <w:szCs w:val="24"/>
        </w:rPr>
        <w:t xml:space="preserve">0. lipnja </w:t>
      </w:r>
      <w:r w:rsidR="00A21D49" w:rsidRPr="00EF793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="00A21D49" w:rsidRPr="00EF793E">
        <w:rPr>
          <w:rFonts w:ascii="Arial" w:hAnsi="Arial" w:cs="Arial"/>
          <w:sz w:val="24"/>
          <w:szCs w:val="24"/>
        </w:rPr>
        <w:t xml:space="preserve">. </w:t>
      </w:r>
      <w:r w:rsidRPr="00EF793E">
        <w:rPr>
          <w:rFonts w:ascii="Arial" w:hAnsi="Arial" w:cs="Arial"/>
          <w:sz w:val="24"/>
          <w:szCs w:val="24"/>
        </w:rPr>
        <w:t xml:space="preserve"> godine ostvaren </w:t>
      </w:r>
      <w:r w:rsidR="00283B6A" w:rsidRPr="00EF793E">
        <w:rPr>
          <w:rFonts w:ascii="Arial" w:hAnsi="Arial" w:cs="Arial"/>
          <w:sz w:val="24"/>
          <w:szCs w:val="24"/>
        </w:rPr>
        <w:t>manjak</w:t>
      </w:r>
      <w:r w:rsidRPr="00EF793E">
        <w:rPr>
          <w:rFonts w:ascii="Arial" w:hAnsi="Arial" w:cs="Arial"/>
          <w:sz w:val="24"/>
          <w:szCs w:val="24"/>
        </w:rPr>
        <w:t xml:space="preserve"> prihoda i</w:t>
      </w:r>
      <w:r w:rsidR="00283B6A" w:rsidRPr="00EF793E">
        <w:rPr>
          <w:rFonts w:ascii="Arial" w:hAnsi="Arial" w:cs="Arial"/>
          <w:sz w:val="24"/>
          <w:szCs w:val="24"/>
        </w:rPr>
        <w:t xml:space="preserve"> primitaka u iznosu od </w:t>
      </w:r>
      <w:r w:rsidR="00F47A15">
        <w:rPr>
          <w:rFonts w:ascii="Arial" w:hAnsi="Arial" w:cs="Arial"/>
          <w:sz w:val="24"/>
          <w:szCs w:val="24"/>
        </w:rPr>
        <w:t>270.403,09</w:t>
      </w:r>
      <w:r w:rsidR="005142DA" w:rsidRPr="00EF793E">
        <w:rPr>
          <w:rFonts w:ascii="Arial" w:hAnsi="Arial" w:cs="Arial"/>
          <w:sz w:val="24"/>
          <w:szCs w:val="24"/>
        </w:rPr>
        <w:t xml:space="preserve"> </w:t>
      </w:r>
      <w:r w:rsidR="009A6F92" w:rsidRPr="00EF793E">
        <w:rPr>
          <w:rFonts w:ascii="Arial" w:hAnsi="Arial" w:cs="Arial"/>
          <w:sz w:val="24"/>
          <w:szCs w:val="24"/>
        </w:rPr>
        <w:t>eura</w:t>
      </w:r>
      <w:r w:rsidRPr="00EF793E">
        <w:rPr>
          <w:rFonts w:ascii="Arial" w:hAnsi="Arial" w:cs="Arial"/>
          <w:sz w:val="24"/>
          <w:szCs w:val="24"/>
        </w:rPr>
        <w:t xml:space="preserve">. </w:t>
      </w:r>
      <w:r w:rsidR="00F47A15" w:rsidRPr="00F47A15">
        <w:rPr>
          <w:rFonts w:ascii="Arial" w:hAnsi="Arial" w:cs="Arial"/>
          <w:sz w:val="24"/>
          <w:szCs w:val="24"/>
        </w:rPr>
        <w:t>U skladu s odredbama Pravilnika o proračunskom računovodstvu i računskom planu (NN 158/23 i 154/24),  čl. 233.  podskupina računa 193 Kontinuirani rashodi budućih razdoblja ukida se s danom 1. siječnja 2025. godine. Početno stanje kontinuiranih rashoda budućih razdoblja prenosi se na odgovarajuće račune razreda 3 Rashodi poslovanja. Ova promjena u računovodstvenoj politici znači ukidanje vremenskog razgraničenja prihoda i rashoda, pri čemu se svi rashodi priznaju u razdoblju nastanka, a prihodi isključivo po načelu naplate. Takav način evidentiranja izravno utječe na strukturu i iznose iskazanih stavki u financijskom izvještaju, posebno na rezultat poslovanja za tekuće razdoblje.</w:t>
      </w:r>
      <w:r w:rsidR="002B7A36">
        <w:rPr>
          <w:rFonts w:ascii="Arial" w:hAnsi="Arial" w:cs="Arial"/>
          <w:sz w:val="24"/>
          <w:szCs w:val="24"/>
        </w:rPr>
        <w:t xml:space="preserve"> </w:t>
      </w:r>
      <w:r w:rsidR="002B7A36" w:rsidRPr="002B7A36">
        <w:rPr>
          <w:rFonts w:ascii="Arial" w:hAnsi="Arial" w:cs="Arial"/>
          <w:sz w:val="24"/>
          <w:szCs w:val="24"/>
        </w:rPr>
        <w:t>Ukupan manjak prihoda i primitaka za pokriće u sljedećem razdoblju</w:t>
      </w:r>
      <w:r w:rsidR="002B7A36">
        <w:rPr>
          <w:rFonts w:ascii="Arial" w:hAnsi="Arial" w:cs="Arial"/>
          <w:sz w:val="24"/>
          <w:szCs w:val="24"/>
        </w:rPr>
        <w:t xml:space="preserve"> </w:t>
      </w:r>
      <w:r w:rsidR="002B7A36" w:rsidRPr="002B7A36">
        <w:rPr>
          <w:rFonts w:ascii="Arial" w:hAnsi="Arial" w:cs="Arial"/>
          <w:sz w:val="24"/>
          <w:szCs w:val="24"/>
        </w:rPr>
        <w:t xml:space="preserve">je </w:t>
      </w:r>
      <w:r w:rsidR="002B7A36">
        <w:rPr>
          <w:rFonts w:ascii="Arial" w:hAnsi="Arial" w:cs="Arial"/>
          <w:sz w:val="24"/>
          <w:szCs w:val="24"/>
        </w:rPr>
        <w:t>280.055,68</w:t>
      </w:r>
      <w:r w:rsidR="002B7A36" w:rsidRPr="002B7A36">
        <w:rPr>
          <w:rFonts w:ascii="Arial" w:hAnsi="Arial" w:cs="Arial"/>
          <w:sz w:val="24"/>
          <w:szCs w:val="24"/>
        </w:rPr>
        <w:t xml:space="preserve"> eur. Navedena sredstva nastojat će se pokriti i rasporediti u tekućoj</w:t>
      </w:r>
      <w:r w:rsidR="002B7A36">
        <w:rPr>
          <w:rFonts w:ascii="Arial" w:hAnsi="Arial" w:cs="Arial"/>
          <w:sz w:val="24"/>
          <w:szCs w:val="24"/>
        </w:rPr>
        <w:t xml:space="preserve"> </w:t>
      </w:r>
      <w:r w:rsidR="002B7A36" w:rsidRPr="002B7A36">
        <w:rPr>
          <w:rFonts w:ascii="Arial" w:hAnsi="Arial" w:cs="Arial"/>
          <w:sz w:val="24"/>
          <w:szCs w:val="24"/>
        </w:rPr>
        <w:t>godini.</w:t>
      </w:r>
    </w:p>
    <w:p w14:paraId="46D53BF8" w14:textId="54E15524" w:rsidR="00E716DA" w:rsidRPr="00EF793E" w:rsidRDefault="00E716DA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466491" w14:textId="61F034D6" w:rsidR="004103CB" w:rsidRPr="004103CB" w:rsidRDefault="004B2A08" w:rsidP="004103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PRIHODI </w:t>
      </w:r>
    </w:p>
    <w:p w14:paraId="6FAF57A0" w14:textId="3097AE59" w:rsidR="00EA6C7C" w:rsidRPr="00EF793E" w:rsidRDefault="004B2A08" w:rsidP="00EF793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</w:t>
      </w:r>
      <w:r w:rsidR="00EF793E">
        <w:rPr>
          <w:rFonts w:ascii="Arial" w:hAnsi="Arial" w:cs="Arial"/>
          <w:sz w:val="24"/>
          <w:szCs w:val="24"/>
        </w:rPr>
        <w:t>rihodi poslovanja u odnosu na zadnji Rebalans u</w:t>
      </w:r>
      <w:r w:rsidR="007E35CC" w:rsidRPr="00EF793E">
        <w:rPr>
          <w:rFonts w:ascii="Arial" w:hAnsi="Arial" w:cs="Arial"/>
          <w:sz w:val="24"/>
          <w:szCs w:val="24"/>
        </w:rPr>
        <w:t xml:space="preserve"> 202</w:t>
      </w:r>
      <w:r w:rsidR="00AD21B3">
        <w:rPr>
          <w:rFonts w:ascii="Arial" w:hAnsi="Arial" w:cs="Arial"/>
          <w:sz w:val="24"/>
          <w:szCs w:val="24"/>
        </w:rPr>
        <w:t>5</w:t>
      </w:r>
      <w:r w:rsidR="007E35CC" w:rsidRPr="00EF793E">
        <w:rPr>
          <w:rFonts w:ascii="Arial" w:hAnsi="Arial" w:cs="Arial"/>
          <w:sz w:val="24"/>
          <w:szCs w:val="24"/>
        </w:rPr>
        <w:t xml:space="preserve">. god. ostvareni su </w:t>
      </w:r>
      <w:r w:rsidR="005142DA" w:rsidRPr="00EF793E">
        <w:rPr>
          <w:rFonts w:ascii="Arial" w:hAnsi="Arial" w:cs="Arial"/>
          <w:sz w:val="24"/>
          <w:szCs w:val="24"/>
        </w:rPr>
        <w:t>4</w:t>
      </w:r>
      <w:r w:rsidR="00B71584">
        <w:rPr>
          <w:rFonts w:ascii="Arial" w:hAnsi="Arial" w:cs="Arial"/>
          <w:sz w:val="24"/>
          <w:szCs w:val="24"/>
        </w:rPr>
        <w:t>9,98</w:t>
      </w:r>
      <w:r w:rsidR="005F292D" w:rsidRPr="00EF793E">
        <w:rPr>
          <w:rFonts w:ascii="Arial" w:hAnsi="Arial" w:cs="Arial"/>
          <w:sz w:val="24"/>
          <w:szCs w:val="24"/>
        </w:rPr>
        <w:t>%</w:t>
      </w:r>
      <w:r w:rsidR="00EF793E">
        <w:rPr>
          <w:rFonts w:ascii="Arial" w:hAnsi="Arial" w:cs="Arial"/>
          <w:sz w:val="24"/>
          <w:szCs w:val="24"/>
        </w:rPr>
        <w:t>, a</w:t>
      </w:r>
      <w:r w:rsidR="00202004">
        <w:rPr>
          <w:rFonts w:ascii="Arial" w:hAnsi="Arial" w:cs="Arial"/>
          <w:sz w:val="24"/>
          <w:szCs w:val="24"/>
        </w:rPr>
        <w:t xml:space="preserve"> </w:t>
      </w:r>
      <w:r w:rsidR="00EF793E">
        <w:rPr>
          <w:rFonts w:ascii="Arial" w:hAnsi="Arial" w:cs="Arial"/>
          <w:sz w:val="24"/>
          <w:szCs w:val="24"/>
        </w:rPr>
        <w:t>u odnosu na 202</w:t>
      </w:r>
      <w:r w:rsidR="00AD21B3">
        <w:rPr>
          <w:rFonts w:ascii="Arial" w:hAnsi="Arial" w:cs="Arial"/>
          <w:sz w:val="24"/>
          <w:szCs w:val="24"/>
        </w:rPr>
        <w:t>4</w:t>
      </w:r>
      <w:r w:rsidR="00EF793E">
        <w:rPr>
          <w:rFonts w:ascii="Arial" w:hAnsi="Arial" w:cs="Arial"/>
          <w:sz w:val="24"/>
          <w:szCs w:val="24"/>
        </w:rPr>
        <w:t>. godinu 11</w:t>
      </w:r>
      <w:r w:rsidR="00B71584">
        <w:rPr>
          <w:rFonts w:ascii="Arial" w:hAnsi="Arial" w:cs="Arial"/>
          <w:sz w:val="24"/>
          <w:szCs w:val="24"/>
        </w:rPr>
        <w:t>0</w:t>
      </w:r>
      <w:r w:rsidR="00EF793E">
        <w:rPr>
          <w:rFonts w:ascii="Arial" w:hAnsi="Arial" w:cs="Arial"/>
          <w:sz w:val="24"/>
          <w:szCs w:val="24"/>
        </w:rPr>
        <w:t>,</w:t>
      </w:r>
      <w:r w:rsidR="00B71584">
        <w:rPr>
          <w:rFonts w:ascii="Arial" w:hAnsi="Arial" w:cs="Arial"/>
          <w:sz w:val="24"/>
          <w:szCs w:val="24"/>
        </w:rPr>
        <w:t>46</w:t>
      </w:r>
      <w:r w:rsidR="00EF793E">
        <w:rPr>
          <w:rFonts w:ascii="Arial" w:hAnsi="Arial" w:cs="Arial"/>
          <w:sz w:val="24"/>
          <w:szCs w:val="24"/>
        </w:rPr>
        <w:t>%.</w:t>
      </w:r>
    </w:p>
    <w:p w14:paraId="34C19ACC" w14:textId="5390309B" w:rsidR="004B2A08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U sljedećoj je tablici prikazana realizacija ukupnih prihoda </w:t>
      </w:r>
      <w:r w:rsidR="0089229F" w:rsidRPr="00EF793E">
        <w:rPr>
          <w:rFonts w:ascii="Arial" w:hAnsi="Arial" w:cs="Arial"/>
          <w:sz w:val="24"/>
          <w:szCs w:val="24"/>
        </w:rPr>
        <w:t>Osnovne</w:t>
      </w:r>
      <w:r w:rsidR="007E35CC" w:rsidRPr="00EF793E">
        <w:rPr>
          <w:rFonts w:ascii="Arial" w:hAnsi="Arial" w:cs="Arial"/>
          <w:sz w:val="24"/>
          <w:szCs w:val="24"/>
        </w:rPr>
        <w:t xml:space="preserve"> škole </w:t>
      </w:r>
      <w:r w:rsidR="0089229F" w:rsidRPr="00EF793E">
        <w:rPr>
          <w:rFonts w:ascii="Arial" w:hAnsi="Arial" w:cs="Arial"/>
          <w:sz w:val="24"/>
          <w:szCs w:val="24"/>
        </w:rPr>
        <w:t>Antuna Mihanovića Petropoljskog</w:t>
      </w:r>
      <w:r w:rsidR="005142DA" w:rsidRPr="00EF793E">
        <w:rPr>
          <w:rFonts w:ascii="Arial" w:hAnsi="Arial" w:cs="Arial"/>
          <w:sz w:val="24"/>
          <w:szCs w:val="24"/>
        </w:rPr>
        <w:t>,</w:t>
      </w:r>
      <w:r w:rsidR="0089229F" w:rsidRPr="00EF793E">
        <w:rPr>
          <w:rFonts w:ascii="Arial" w:hAnsi="Arial" w:cs="Arial"/>
          <w:sz w:val="24"/>
          <w:szCs w:val="24"/>
        </w:rPr>
        <w:t xml:space="preserve"> </w:t>
      </w:r>
      <w:r w:rsidR="007E35CC" w:rsidRPr="00EF793E">
        <w:rPr>
          <w:rFonts w:ascii="Arial" w:hAnsi="Arial" w:cs="Arial"/>
          <w:sz w:val="24"/>
          <w:szCs w:val="24"/>
        </w:rPr>
        <w:t>Drniš</w:t>
      </w:r>
      <w:r w:rsidRPr="00EF793E">
        <w:rPr>
          <w:rFonts w:ascii="Arial" w:hAnsi="Arial" w:cs="Arial"/>
          <w:sz w:val="24"/>
          <w:szCs w:val="24"/>
        </w:rPr>
        <w:t xml:space="preserve"> u</w:t>
      </w:r>
      <w:r w:rsidR="00704530">
        <w:rPr>
          <w:rFonts w:ascii="Arial" w:hAnsi="Arial" w:cs="Arial"/>
          <w:sz w:val="24"/>
          <w:szCs w:val="24"/>
        </w:rPr>
        <w:t xml:space="preserve"> prvoj polovici</w:t>
      </w:r>
      <w:r w:rsidRPr="00EF793E">
        <w:rPr>
          <w:rFonts w:ascii="Arial" w:hAnsi="Arial" w:cs="Arial"/>
          <w:sz w:val="24"/>
          <w:szCs w:val="24"/>
        </w:rPr>
        <w:t xml:space="preserve"> </w:t>
      </w:r>
      <w:r w:rsidR="007E35CC" w:rsidRPr="00EF793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="007E35CC" w:rsidRPr="00EF793E">
        <w:rPr>
          <w:rFonts w:ascii="Arial" w:hAnsi="Arial" w:cs="Arial"/>
          <w:sz w:val="24"/>
          <w:szCs w:val="24"/>
        </w:rPr>
        <w:t>.g.</w:t>
      </w:r>
      <w:r w:rsidRPr="00EF793E">
        <w:rPr>
          <w:rFonts w:ascii="Arial" w:hAnsi="Arial" w:cs="Arial"/>
          <w:sz w:val="24"/>
          <w:szCs w:val="24"/>
        </w:rPr>
        <w:t xml:space="preserve"> te </w:t>
      </w:r>
      <w:r w:rsidR="007E35CC" w:rsidRPr="00EF793E">
        <w:rPr>
          <w:rFonts w:ascii="Arial" w:hAnsi="Arial" w:cs="Arial"/>
          <w:sz w:val="24"/>
          <w:szCs w:val="24"/>
        </w:rPr>
        <w:t>usporedba s realizacijom u</w:t>
      </w:r>
      <w:r w:rsidRPr="00EF793E">
        <w:rPr>
          <w:rFonts w:ascii="Arial" w:hAnsi="Arial" w:cs="Arial"/>
          <w:sz w:val="24"/>
          <w:szCs w:val="24"/>
        </w:rPr>
        <w:t xml:space="preserve"> izvještajnom razdoblju prethodne godine</w:t>
      </w:r>
      <w:r w:rsidR="00B71584">
        <w:rPr>
          <w:rFonts w:ascii="Arial" w:hAnsi="Arial" w:cs="Arial"/>
          <w:sz w:val="24"/>
          <w:szCs w:val="24"/>
        </w:rPr>
        <w:t xml:space="preserve"> </w:t>
      </w:r>
      <w:r w:rsidR="00B71584" w:rsidRPr="00B71584">
        <w:rPr>
          <w:rFonts w:ascii="Arial" w:hAnsi="Arial" w:cs="Arial"/>
          <w:sz w:val="24"/>
          <w:szCs w:val="24"/>
        </w:rPr>
        <w:t>prema ekonomskoj klasifikaciji</w:t>
      </w:r>
      <w:r w:rsidR="00B71584">
        <w:rPr>
          <w:rFonts w:ascii="Arial" w:hAnsi="Arial" w:cs="Arial"/>
          <w:sz w:val="24"/>
          <w:szCs w:val="24"/>
        </w:rPr>
        <w:t>.</w:t>
      </w:r>
    </w:p>
    <w:p w14:paraId="55A400F0" w14:textId="77777777" w:rsidR="00281182" w:rsidRPr="00EF793E" w:rsidRDefault="00281182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A87985" w14:textId="43B3F43F" w:rsidR="00EF793E" w:rsidRPr="00EF793E" w:rsidRDefault="00B71584" w:rsidP="002819B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hr-HR"/>
        </w:rPr>
        <w:lastRenderedPageBreak/>
        <w:drawing>
          <wp:inline distT="0" distB="0" distL="0" distR="0" wp14:anchorId="69ADEDF9" wp14:editId="01E5B557">
            <wp:extent cx="6019800" cy="6340299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2913" cy="63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3907" w14:textId="77777777" w:rsidR="00C72744" w:rsidRDefault="00C72744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5669E6" w14:textId="329C0178" w:rsidR="007A599B" w:rsidRPr="00C72744" w:rsidRDefault="002143A1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t xml:space="preserve">3.1. </w:t>
      </w:r>
      <w:r w:rsidR="007A599B" w:rsidRPr="00C72744">
        <w:rPr>
          <w:rFonts w:ascii="Arial" w:hAnsi="Arial" w:cs="Arial"/>
          <w:sz w:val="24"/>
          <w:szCs w:val="24"/>
          <w:u w:val="single"/>
        </w:rPr>
        <w:t>POMOĆI</w:t>
      </w:r>
      <w:r w:rsidR="004C17A6" w:rsidRPr="00C7274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118766B" w14:textId="6C8BF548" w:rsidR="007863A6" w:rsidRPr="00C72744" w:rsidRDefault="007A599B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 xml:space="preserve">Pomoći </w:t>
      </w:r>
      <w:r w:rsidR="004C17A6" w:rsidRPr="00C72744">
        <w:rPr>
          <w:rFonts w:ascii="Arial" w:hAnsi="Arial" w:cs="Arial"/>
          <w:sz w:val="24"/>
          <w:szCs w:val="24"/>
        </w:rPr>
        <w:t xml:space="preserve">su planirane u iznosu od </w:t>
      </w:r>
      <w:r w:rsidR="00704530">
        <w:rPr>
          <w:rFonts w:ascii="Arial" w:hAnsi="Arial" w:cs="Arial"/>
          <w:sz w:val="24"/>
          <w:szCs w:val="24"/>
        </w:rPr>
        <w:t>3</w:t>
      </w:r>
      <w:r w:rsidR="00C72744" w:rsidRPr="00C72744">
        <w:rPr>
          <w:rFonts w:ascii="Arial" w:hAnsi="Arial" w:cs="Arial"/>
          <w:sz w:val="24"/>
          <w:szCs w:val="24"/>
        </w:rPr>
        <w:t>.</w:t>
      </w:r>
      <w:r w:rsidR="00B71584">
        <w:rPr>
          <w:rFonts w:ascii="Arial" w:hAnsi="Arial" w:cs="Arial"/>
          <w:sz w:val="24"/>
          <w:szCs w:val="24"/>
        </w:rPr>
        <w:t>424</w:t>
      </w:r>
      <w:r w:rsidR="008A6751">
        <w:rPr>
          <w:rFonts w:ascii="Arial" w:hAnsi="Arial" w:cs="Arial"/>
          <w:sz w:val="24"/>
          <w:szCs w:val="24"/>
        </w:rPr>
        <w:t>.264,00</w:t>
      </w:r>
      <w:r w:rsidR="00782430" w:rsidRPr="00C72744">
        <w:rPr>
          <w:rFonts w:ascii="Arial" w:hAnsi="Arial" w:cs="Arial"/>
          <w:sz w:val="24"/>
          <w:szCs w:val="24"/>
        </w:rPr>
        <w:t xml:space="preserve"> eura,</w:t>
      </w:r>
      <w:r w:rsidR="004C17A6" w:rsidRPr="00C72744">
        <w:rPr>
          <w:rFonts w:ascii="Arial" w:hAnsi="Arial" w:cs="Arial"/>
          <w:sz w:val="24"/>
          <w:szCs w:val="24"/>
        </w:rPr>
        <w:t xml:space="preserve"> a ostvarene u visini od </w:t>
      </w:r>
      <w:r w:rsidR="00704530">
        <w:rPr>
          <w:rFonts w:ascii="Arial" w:hAnsi="Arial" w:cs="Arial"/>
          <w:sz w:val="24"/>
          <w:szCs w:val="24"/>
        </w:rPr>
        <w:t>1</w:t>
      </w:r>
      <w:r w:rsidR="00C72744" w:rsidRPr="00C72744">
        <w:rPr>
          <w:rFonts w:ascii="Arial" w:hAnsi="Arial" w:cs="Arial"/>
          <w:sz w:val="24"/>
          <w:szCs w:val="24"/>
        </w:rPr>
        <w:t>.</w:t>
      </w:r>
      <w:r w:rsidR="008A6751">
        <w:rPr>
          <w:rFonts w:ascii="Arial" w:hAnsi="Arial" w:cs="Arial"/>
          <w:sz w:val="24"/>
          <w:szCs w:val="24"/>
        </w:rPr>
        <w:t>614.954,89</w:t>
      </w:r>
      <w:r w:rsidR="00782430" w:rsidRPr="00C72744">
        <w:rPr>
          <w:rFonts w:ascii="Arial" w:hAnsi="Arial" w:cs="Arial"/>
          <w:sz w:val="24"/>
          <w:szCs w:val="24"/>
        </w:rPr>
        <w:t xml:space="preserve"> eura</w:t>
      </w:r>
      <w:r w:rsidR="004C17A6" w:rsidRPr="00C72744">
        <w:rPr>
          <w:rFonts w:ascii="Arial" w:hAnsi="Arial" w:cs="Arial"/>
          <w:sz w:val="24"/>
          <w:szCs w:val="24"/>
        </w:rPr>
        <w:t xml:space="preserve"> što čini </w:t>
      </w:r>
      <w:r w:rsidR="008A6751">
        <w:rPr>
          <w:rFonts w:ascii="Arial" w:hAnsi="Arial" w:cs="Arial"/>
          <w:sz w:val="24"/>
          <w:szCs w:val="24"/>
        </w:rPr>
        <w:t>47,16</w:t>
      </w:r>
      <w:r w:rsidR="00C72744" w:rsidRPr="00C72744">
        <w:rPr>
          <w:rFonts w:ascii="Arial" w:hAnsi="Arial" w:cs="Arial"/>
          <w:sz w:val="24"/>
          <w:szCs w:val="24"/>
        </w:rPr>
        <w:t>%</w:t>
      </w:r>
      <w:r w:rsidR="004C17A6" w:rsidRPr="00C72744">
        <w:rPr>
          <w:rFonts w:ascii="Arial" w:hAnsi="Arial" w:cs="Arial"/>
          <w:sz w:val="24"/>
          <w:szCs w:val="24"/>
        </w:rPr>
        <w:t xml:space="preserve"> godišnjeg Plana</w:t>
      </w:r>
      <w:r w:rsidR="00C72744" w:rsidRPr="00C72744">
        <w:rPr>
          <w:rFonts w:ascii="Arial" w:hAnsi="Arial" w:cs="Arial"/>
          <w:sz w:val="24"/>
          <w:szCs w:val="24"/>
        </w:rPr>
        <w:t xml:space="preserve"> nakon zadnjeg Rebalansa</w:t>
      </w:r>
      <w:r w:rsidR="004C17A6" w:rsidRPr="00C72744">
        <w:rPr>
          <w:rFonts w:ascii="Arial" w:hAnsi="Arial" w:cs="Arial"/>
          <w:sz w:val="24"/>
          <w:szCs w:val="24"/>
        </w:rPr>
        <w:t xml:space="preserve">. U odnosu na isto razdoblje prethodne godine realizirane su sa indeksom </w:t>
      </w:r>
      <w:r w:rsidR="008A6751">
        <w:rPr>
          <w:rFonts w:ascii="Arial" w:hAnsi="Arial" w:cs="Arial"/>
          <w:sz w:val="24"/>
          <w:szCs w:val="24"/>
        </w:rPr>
        <w:t>107,82</w:t>
      </w:r>
      <w:r w:rsidR="004C17A6" w:rsidRPr="00C72744">
        <w:rPr>
          <w:rFonts w:ascii="Arial" w:hAnsi="Arial" w:cs="Arial"/>
          <w:sz w:val="24"/>
          <w:szCs w:val="24"/>
        </w:rPr>
        <w:t xml:space="preserve">%. </w:t>
      </w:r>
    </w:p>
    <w:p w14:paraId="5D3FA67E" w14:textId="2B1AE44A" w:rsidR="00C72744" w:rsidRDefault="004C17A6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>Čine ih tekuće pomoći</w:t>
      </w:r>
      <w:r w:rsidR="007A599B" w:rsidRPr="00C72744">
        <w:rPr>
          <w:rFonts w:ascii="Arial" w:hAnsi="Arial" w:cs="Arial"/>
          <w:sz w:val="24"/>
          <w:szCs w:val="24"/>
        </w:rPr>
        <w:t xml:space="preserve"> proračunskim korisnicima iz proračuna koji im n</w:t>
      </w:r>
      <w:r w:rsidR="00D31BED" w:rsidRPr="00C72744">
        <w:rPr>
          <w:rFonts w:ascii="Arial" w:hAnsi="Arial" w:cs="Arial"/>
          <w:sz w:val="24"/>
          <w:szCs w:val="24"/>
        </w:rPr>
        <w:t xml:space="preserve">ije nadležan tj. iz državnog </w:t>
      </w:r>
      <w:r w:rsidR="004D7FBF" w:rsidRPr="00C72744">
        <w:rPr>
          <w:rFonts w:ascii="Arial" w:hAnsi="Arial" w:cs="Arial"/>
          <w:sz w:val="24"/>
          <w:szCs w:val="24"/>
        </w:rPr>
        <w:t>proračuna, te kapitalne pomoći proračunskim korisnicima iz proračuna koji im nije nadležan tj. iz državnog proračuna.</w:t>
      </w:r>
    </w:p>
    <w:p w14:paraId="41B4AC98" w14:textId="77777777" w:rsidR="008A6751" w:rsidRPr="00C72744" w:rsidRDefault="008A6751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C4AFA" w14:textId="77777777" w:rsidR="001A6E1E" w:rsidRPr="00C72744" w:rsidRDefault="00BC55ED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lastRenderedPageBreak/>
        <w:t>3.</w:t>
      </w:r>
      <w:r w:rsidR="00116A90" w:rsidRPr="00C72744">
        <w:rPr>
          <w:rFonts w:ascii="Arial" w:hAnsi="Arial" w:cs="Arial"/>
          <w:sz w:val="24"/>
          <w:szCs w:val="24"/>
          <w:u w:val="single"/>
        </w:rPr>
        <w:t>2</w:t>
      </w:r>
      <w:r w:rsidRPr="00C72744">
        <w:rPr>
          <w:rFonts w:ascii="Arial" w:hAnsi="Arial" w:cs="Arial"/>
          <w:sz w:val="24"/>
          <w:szCs w:val="24"/>
          <w:u w:val="single"/>
        </w:rPr>
        <w:t>. PRIHODI PO POSEBNIM PROPISIMA</w:t>
      </w:r>
    </w:p>
    <w:p w14:paraId="508D5AA5" w14:textId="77777777" w:rsidR="0093540B" w:rsidRDefault="0093540B" w:rsidP="009354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>Prihodi po posebnim propisima</w:t>
      </w:r>
      <w:r>
        <w:rPr>
          <w:rFonts w:ascii="Arial" w:hAnsi="Arial" w:cs="Arial"/>
          <w:sz w:val="24"/>
          <w:szCs w:val="24"/>
        </w:rPr>
        <w:t xml:space="preserve"> nisu planirani, a ni </w:t>
      </w:r>
      <w:r w:rsidRPr="00C72744">
        <w:rPr>
          <w:rFonts w:ascii="Arial" w:hAnsi="Arial" w:cs="Arial"/>
          <w:sz w:val="24"/>
          <w:szCs w:val="24"/>
        </w:rPr>
        <w:t>realizirani</w:t>
      </w:r>
      <w:r>
        <w:rPr>
          <w:rFonts w:ascii="Arial" w:hAnsi="Arial" w:cs="Arial"/>
          <w:sz w:val="24"/>
          <w:szCs w:val="24"/>
        </w:rPr>
        <w:t xml:space="preserve"> u izvještajnom razdoblju.</w:t>
      </w:r>
      <w:r w:rsidRPr="00C72744">
        <w:rPr>
          <w:rFonts w:ascii="Arial" w:hAnsi="Arial" w:cs="Arial"/>
          <w:sz w:val="24"/>
          <w:szCs w:val="24"/>
        </w:rPr>
        <w:t xml:space="preserve"> </w:t>
      </w:r>
    </w:p>
    <w:p w14:paraId="540A780A" w14:textId="77777777" w:rsidR="00C72744" w:rsidRPr="00C72744" w:rsidRDefault="00C72744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6D2BD6" w14:textId="77777777" w:rsidR="005B76CB" w:rsidRPr="00C72744" w:rsidRDefault="005B76CB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t>3.3. PRIHODI OD DONACIJA</w:t>
      </w:r>
    </w:p>
    <w:p w14:paraId="1492DF5B" w14:textId="0580B8E5" w:rsidR="008A6751" w:rsidRDefault="005B76CB" w:rsidP="008A6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 xml:space="preserve">Prihodi od donacija </w:t>
      </w:r>
      <w:r w:rsidR="008A6751">
        <w:rPr>
          <w:rFonts w:ascii="Arial" w:hAnsi="Arial" w:cs="Arial"/>
          <w:sz w:val="24"/>
          <w:szCs w:val="24"/>
        </w:rPr>
        <w:t>nisu realizirani do 30. lipnja 2025. godine.</w:t>
      </w:r>
    </w:p>
    <w:p w14:paraId="3641E908" w14:textId="77777777" w:rsidR="008A6751" w:rsidRDefault="008A6751" w:rsidP="008A6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9B1E6" w14:textId="0AD8F5CC" w:rsidR="007A599B" w:rsidRPr="004103CB" w:rsidRDefault="002C5FC9" w:rsidP="008A6751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103CB">
        <w:rPr>
          <w:rFonts w:ascii="Arial" w:hAnsi="Arial" w:cs="Arial"/>
          <w:sz w:val="24"/>
          <w:szCs w:val="24"/>
          <w:u w:val="single"/>
        </w:rPr>
        <w:t>3.</w:t>
      </w:r>
      <w:r w:rsidR="005B76CB" w:rsidRPr="004103CB">
        <w:rPr>
          <w:rFonts w:ascii="Arial" w:hAnsi="Arial" w:cs="Arial"/>
          <w:sz w:val="24"/>
          <w:szCs w:val="24"/>
          <w:u w:val="single"/>
        </w:rPr>
        <w:t>4</w:t>
      </w:r>
      <w:r w:rsidRPr="004103CB">
        <w:rPr>
          <w:rFonts w:ascii="Arial" w:hAnsi="Arial" w:cs="Arial"/>
          <w:sz w:val="24"/>
          <w:szCs w:val="24"/>
          <w:u w:val="single"/>
        </w:rPr>
        <w:t>. PRIHODI IZ</w:t>
      </w:r>
      <w:r w:rsidR="008A6751">
        <w:rPr>
          <w:rFonts w:ascii="Arial" w:hAnsi="Arial" w:cs="Arial"/>
          <w:sz w:val="24"/>
          <w:szCs w:val="24"/>
          <w:u w:val="single"/>
        </w:rPr>
        <w:t xml:space="preserve"> NADLEŽNOG</w:t>
      </w:r>
      <w:r w:rsidRPr="004103CB">
        <w:rPr>
          <w:rFonts w:ascii="Arial" w:hAnsi="Arial" w:cs="Arial"/>
          <w:sz w:val="24"/>
          <w:szCs w:val="24"/>
          <w:u w:val="single"/>
        </w:rPr>
        <w:t xml:space="preserve">  PRORAČUNA</w:t>
      </w:r>
    </w:p>
    <w:p w14:paraId="0FEA8020" w14:textId="4D54599D" w:rsidR="002C5FC9" w:rsidRPr="004103CB" w:rsidRDefault="004414D1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>Prihodi iz nadležnog pror</w:t>
      </w:r>
      <w:r w:rsidR="00527C5A" w:rsidRPr="004103CB">
        <w:rPr>
          <w:rFonts w:ascii="Arial" w:hAnsi="Arial" w:cs="Arial"/>
          <w:sz w:val="24"/>
          <w:szCs w:val="24"/>
        </w:rPr>
        <w:t xml:space="preserve">ačuna ostvareni su u iznosu od </w:t>
      </w:r>
      <w:r w:rsidR="008A6751">
        <w:rPr>
          <w:rFonts w:ascii="Arial" w:hAnsi="Arial" w:cs="Arial"/>
          <w:sz w:val="24"/>
          <w:szCs w:val="24"/>
        </w:rPr>
        <w:t>409.199,33</w:t>
      </w:r>
      <w:r w:rsidR="009C0988" w:rsidRPr="004103CB">
        <w:rPr>
          <w:rFonts w:ascii="Arial" w:hAnsi="Arial" w:cs="Arial"/>
          <w:sz w:val="24"/>
          <w:szCs w:val="24"/>
        </w:rPr>
        <w:t xml:space="preserve"> eura</w:t>
      </w:r>
      <w:r w:rsidRPr="004103CB">
        <w:rPr>
          <w:rFonts w:ascii="Arial" w:hAnsi="Arial" w:cs="Arial"/>
          <w:sz w:val="24"/>
          <w:szCs w:val="24"/>
        </w:rPr>
        <w:t xml:space="preserve">, odnosno </w:t>
      </w:r>
      <w:r w:rsidR="008A6751">
        <w:rPr>
          <w:rFonts w:ascii="Arial" w:hAnsi="Arial" w:cs="Arial"/>
          <w:sz w:val="24"/>
          <w:szCs w:val="24"/>
        </w:rPr>
        <w:t>65,12</w:t>
      </w:r>
      <w:r w:rsidRPr="004103CB">
        <w:rPr>
          <w:rFonts w:ascii="Arial" w:hAnsi="Arial" w:cs="Arial"/>
          <w:sz w:val="24"/>
          <w:szCs w:val="24"/>
        </w:rPr>
        <w:t xml:space="preserve">% Plana, a u odnosu na jednako izvještajno razdoblje prethodne godine realizirani su s indeksom </w:t>
      </w:r>
      <w:r w:rsidR="00A1387E">
        <w:rPr>
          <w:rFonts w:ascii="Arial" w:hAnsi="Arial" w:cs="Arial"/>
          <w:sz w:val="24"/>
          <w:szCs w:val="24"/>
        </w:rPr>
        <w:t>122,31</w:t>
      </w:r>
      <w:r w:rsidR="00BA1AB9" w:rsidRPr="004103CB">
        <w:rPr>
          <w:rFonts w:ascii="Arial" w:hAnsi="Arial" w:cs="Arial"/>
          <w:sz w:val="24"/>
          <w:szCs w:val="24"/>
        </w:rPr>
        <w:t>%</w:t>
      </w:r>
      <w:r w:rsidR="009C0988" w:rsidRPr="004103CB">
        <w:rPr>
          <w:rFonts w:ascii="Arial" w:hAnsi="Arial" w:cs="Arial"/>
          <w:sz w:val="24"/>
          <w:szCs w:val="24"/>
        </w:rPr>
        <w:t>,</w:t>
      </w:r>
      <w:r w:rsidRPr="004103CB">
        <w:rPr>
          <w:rFonts w:ascii="Arial" w:hAnsi="Arial" w:cs="Arial"/>
          <w:sz w:val="24"/>
          <w:szCs w:val="24"/>
        </w:rPr>
        <w:t xml:space="preserve"> odnose se na prihode iz nadležnog Županijskog proračuna za financi</w:t>
      </w:r>
      <w:r w:rsidR="000053E4" w:rsidRPr="004103CB">
        <w:rPr>
          <w:rFonts w:ascii="Arial" w:hAnsi="Arial" w:cs="Arial"/>
          <w:sz w:val="24"/>
          <w:szCs w:val="24"/>
        </w:rPr>
        <w:t>ranje</w:t>
      </w:r>
      <w:r w:rsidR="00C231F8" w:rsidRPr="004103CB">
        <w:rPr>
          <w:rFonts w:ascii="Arial" w:hAnsi="Arial" w:cs="Arial"/>
          <w:sz w:val="24"/>
          <w:szCs w:val="24"/>
        </w:rPr>
        <w:t xml:space="preserve"> materijalnih rashoda u okviru</w:t>
      </w:r>
      <w:r w:rsidR="00527C5A" w:rsidRPr="004103CB">
        <w:rPr>
          <w:rFonts w:ascii="Arial" w:hAnsi="Arial" w:cs="Arial"/>
          <w:sz w:val="24"/>
          <w:szCs w:val="24"/>
        </w:rPr>
        <w:t xml:space="preserve"> redovne djelatnosti Škole, opće prihod</w:t>
      </w:r>
      <w:r w:rsidR="00E17B9C">
        <w:rPr>
          <w:rFonts w:ascii="Arial" w:hAnsi="Arial" w:cs="Arial"/>
          <w:sz w:val="24"/>
          <w:szCs w:val="24"/>
        </w:rPr>
        <w:t>e</w:t>
      </w:r>
      <w:r w:rsidR="00527C5A" w:rsidRPr="004103CB">
        <w:rPr>
          <w:rFonts w:ascii="Arial" w:hAnsi="Arial" w:cs="Arial"/>
          <w:sz w:val="24"/>
          <w:szCs w:val="24"/>
        </w:rPr>
        <w:t xml:space="preserve"> i primi</w:t>
      </w:r>
      <w:r w:rsidR="00E17B9C">
        <w:rPr>
          <w:rFonts w:ascii="Arial" w:hAnsi="Arial" w:cs="Arial"/>
          <w:sz w:val="24"/>
          <w:szCs w:val="24"/>
        </w:rPr>
        <w:t>tke</w:t>
      </w:r>
      <w:r w:rsidR="00527C5A" w:rsidRPr="004103CB">
        <w:rPr>
          <w:rFonts w:ascii="Arial" w:hAnsi="Arial" w:cs="Arial"/>
          <w:sz w:val="24"/>
          <w:szCs w:val="24"/>
        </w:rPr>
        <w:t xml:space="preserve"> ŠKŽ realizirane u iznosu od </w:t>
      </w:r>
      <w:r w:rsidR="00A1387E">
        <w:rPr>
          <w:rFonts w:ascii="Arial" w:hAnsi="Arial" w:cs="Arial"/>
          <w:sz w:val="24"/>
          <w:szCs w:val="24"/>
        </w:rPr>
        <w:t>14.559,45</w:t>
      </w:r>
      <w:r w:rsidR="00527C5A" w:rsidRPr="004103CB">
        <w:rPr>
          <w:rFonts w:ascii="Arial" w:hAnsi="Arial" w:cs="Arial"/>
          <w:sz w:val="24"/>
          <w:szCs w:val="24"/>
        </w:rPr>
        <w:t xml:space="preserve"> eura što čini </w:t>
      </w:r>
      <w:r w:rsidR="00A1387E">
        <w:rPr>
          <w:rFonts w:ascii="Arial" w:hAnsi="Arial" w:cs="Arial"/>
          <w:sz w:val="24"/>
          <w:szCs w:val="24"/>
        </w:rPr>
        <w:t>68,86</w:t>
      </w:r>
      <w:r w:rsidR="00527C5A" w:rsidRPr="004103CB">
        <w:rPr>
          <w:rFonts w:ascii="Arial" w:hAnsi="Arial" w:cs="Arial"/>
          <w:sz w:val="24"/>
          <w:szCs w:val="24"/>
        </w:rPr>
        <w:t>% godišnjeg Plana</w:t>
      </w:r>
      <w:r w:rsidR="009B7A08" w:rsidRPr="004103CB">
        <w:rPr>
          <w:rFonts w:ascii="Arial" w:hAnsi="Arial" w:cs="Arial"/>
          <w:sz w:val="24"/>
          <w:szCs w:val="24"/>
        </w:rPr>
        <w:t>,</w:t>
      </w:r>
      <w:r w:rsidR="00202004">
        <w:rPr>
          <w:rFonts w:ascii="Arial" w:hAnsi="Arial" w:cs="Arial"/>
          <w:sz w:val="24"/>
          <w:szCs w:val="24"/>
        </w:rPr>
        <w:t xml:space="preserve"> a </w:t>
      </w:r>
      <w:r w:rsidR="00527C5A" w:rsidRPr="004103CB">
        <w:rPr>
          <w:rFonts w:ascii="Arial" w:hAnsi="Arial" w:cs="Arial"/>
          <w:sz w:val="24"/>
          <w:szCs w:val="24"/>
        </w:rPr>
        <w:t>isti se odnos</w:t>
      </w:r>
      <w:r w:rsidR="00202004">
        <w:rPr>
          <w:rFonts w:ascii="Arial" w:hAnsi="Arial" w:cs="Arial"/>
          <w:sz w:val="24"/>
          <w:szCs w:val="24"/>
        </w:rPr>
        <w:t>e</w:t>
      </w:r>
      <w:r w:rsidR="00527C5A" w:rsidRPr="004103CB">
        <w:rPr>
          <w:rFonts w:ascii="Arial" w:hAnsi="Arial" w:cs="Arial"/>
          <w:sz w:val="24"/>
          <w:szCs w:val="24"/>
        </w:rPr>
        <w:t xml:space="preserve"> na prihode nastale realizacijom natjecanja učenika te predfinanciranje EU projekata iz sr</w:t>
      </w:r>
      <w:r w:rsidR="00202004">
        <w:rPr>
          <w:rFonts w:ascii="Arial" w:hAnsi="Arial" w:cs="Arial"/>
          <w:sz w:val="24"/>
          <w:szCs w:val="24"/>
        </w:rPr>
        <w:t>edstava</w:t>
      </w:r>
      <w:r w:rsidR="00527C5A" w:rsidRPr="004103CB">
        <w:rPr>
          <w:rFonts w:ascii="Arial" w:hAnsi="Arial" w:cs="Arial"/>
          <w:sz w:val="24"/>
          <w:szCs w:val="24"/>
        </w:rPr>
        <w:t xml:space="preserve"> ŠKŽ</w:t>
      </w:r>
      <w:r w:rsidR="00E17B9C">
        <w:rPr>
          <w:rFonts w:ascii="Arial" w:hAnsi="Arial" w:cs="Arial"/>
          <w:sz w:val="24"/>
          <w:szCs w:val="24"/>
        </w:rPr>
        <w:t xml:space="preserve"> (</w:t>
      </w:r>
      <w:r w:rsidR="00E17B9C" w:rsidRPr="004103CB">
        <w:rPr>
          <w:rFonts w:ascii="Arial" w:hAnsi="Arial" w:cs="Arial"/>
          <w:sz w:val="24"/>
          <w:szCs w:val="24"/>
        </w:rPr>
        <w:t>za realizaciju projekata Zajedno do znanja uz više elana</w:t>
      </w:r>
      <w:r w:rsidR="00E17B9C">
        <w:rPr>
          <w:rFonts w:ascii="Arial" w:hAnsi="Arial" w:cs="Arial"/>
          <w:sz w:val="24"/>
          <w:szCs w:val="24"/>
        </w:rPr>
        <w:t>)</w:t>
      </w:r>
      <w:r w:rsidR="00527C5A" w:rsidRPr="004103CB">
        <w:rPr>
          <w:rFonts w:ascii="Arial" w:hAnsi="Arial" w:cs="Arial"/>
          <w:sz w:val="24"/>
          <w:szCs w:val="24"/>
        </w:rPr>
        <w:t xml:space="preserve"> planirano u iznosu od</w:t>
      </w:r>
      <w:r w:rsidR="004103CB" w:rsidRPr="004103CB">
        <w:rPr>
          <w:rFonts w:ascii="Arial" w:hAnsi="Arial" w:cs="Arial"/>
          <w:sz w:val="24"/>
          <w:szCs w:val="24"/>
        </w:rPr>
        <w:t xml:space="preserve"> </w:t>
      </w:r>
      <w:r w:rsidR="00A1387E">
        <w:rPr>
          <w:rFonts w:ascii="Arial" w:hAnsi="Arial" w:cs="Arial"/>
          <w:sz w:val="24"/>
          <w:szCs w:val="24"/>
        </w:rPr>
        <w:t>99.840,00</w:t>
      </w:r>
      <w:r w:rsidR="004103CB" w:rsidRPr="004103CB">
        <w:rPr>
          <w:rFonts w:ascii="Arial" w:hAnsi="Arial" w:cs="Arial"/>
          <w:sz w:val="24"/>
          <w:szCs w:val="24"/>
        </w:rPr>
        <w:t xml:space="preserve"> </w:t>
      </w:r>
      <w:r w:rsidR="00527C5A" w:rsidRPr="004103CB">
        <w:rPr>
          <w:rFonts w:ascii="Arial" w:hAnsi="Arial" w:cs="Arial"/>
          <w:sz w:val="24"/>
          <w:szCs w:val="24"/>
        </w:rPr>
        <w:t xml:space="preserve">eura, a ostvareno u visini od </w:t>
      </w:r>
      <w:r w:rsidR="00A1387E">
        <w:rPr>
          <w:rFonts w:ascii="Arial" w:hAnsi="Arial" w:cs="Arial"/>
          <w:sz w:val="24"/>
          <w:szCs w:val="24"/>
        </w:rPr>
        <w:t>61.865,56</w:t>
      </w:r>
      <w:r w:rsidR="00527C5A" w:rsidRPr="004103CB">
        <w:rPr>
          <w:rFonts w:ascii="Arial" w:hAnsi="Arial" w:cs="Arial"/>
          <w:sz w:val="24"/>
          <w:szCs w:val="24"/>
        </w:rPr>
        <w:t xml:space="preserve"> eura što čini </w:t>
      </w:r>
      <w:r w:rsidR="00A1387E">
        <w:rPr>
          <w:rFonts w:ascii="Arial" w:hAnsi="Arial" w:cs="Arial"/>
          <w:sz w:val="24"/>
          <w:szCs w:val="24"/>
        </w:rPr>
        <w:t>61,96</w:t>
      </w:r>
      <w:r w:rsidR="00527C5A" w:rsidRPr="004103CB">
        <w:rPr>
          <w:rFonts w:ascii="Arial" w:hAnsi="Arial" w:cs="Arial"/>
          <w:sz w:val="24"/>
          <w:szCs w:val="24"/>
        </w:rPr>
        <w:t xml:space="preserve">% godišnjeg Plana. U odnosu na isto razdoblje prethodne godine realizirano sa indeksom </w:t>
      </w:r>
      <w:r w:rsidR="00A1387E">
        <w:rPr>
          <w:rFonts w:ascii="Arial" w:hAnsi="Arial" w:cs="Arial"/>
          <w:sz w:val="24"/>
          <w:szCs w:val="24"/>
        </w:rPr>
        <w:t>377,17</w:t>
      </w:r>
      <w:r w:rsidR="00527C5A" w:rsidRPr="004103CB">
        <w:rPr>
          <w:rFonts w:ascii="Arial" w:hAnsi="Arial" w:cs="Arial"/>
          <w:sz w:val="24"/>
          <w:szCs w:val="24"/>
        </w:rPr>
        <w:t xml:space="preserve">%. </w:t>
      </w:r>
    </w:p>
    <w:p w14:paraId="689B7F01" w14:textId="77777777" w:rsidR="004103CB" w:rsidRPr="004103CB" w:rsidRDefault="004103CB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BCD928" w14:textId="5D29FAE3" w:rsidR="00BA1AB9" w:rsidRPr="004103CB" w:rsidRDefault="00BA1AB9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103CB">
        <w:rPr>
          <w:rFonts w:ascii="Arial" w:hAnsi="Arial" w:cs="Arial"/>
          <w:sz w:val="24"/>
          <w:szCs w:val="24"/>
          <w:u w:val="single"/>
        </w:rPr>
        <w:t>3.5. VLASTITI PRIHODI</w:t>
      </w:r>
    </w:p>
    <w:p w14:paraId="2F742310" w14:textId="683C98BE" w:rsidR="002801EF" w:rsidRPr="004103CB" w:rsidRDefault="00BA1AB9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Vlastiti prihodi iz ostvareni su u iznosu od </w:t>
      </w:r>
      <w:r w:rsidR="00A1387E">
        <w:rPr>
          <w:rFonts w:ascii="Arial" w:hAnsi="Arial" w:cs="Arial"/>
          <w:sz w:val="24"/>
          <w:szCs w:val="24"/>
        </w:rPr>
        <w:t>5.843,36</w:t>
      </w:r>
      <w:r w:rsidRPr="004103CB">
        <w:rPr>
          <w:rFonts w:ascii="Arial" w:hAnsi="Arial" w:cs="Arial"/>
          <w:sz w:val="24"/>
          <w:szCs w:val="24"/>
        </w:rPr>
        <w:t xml:space="preserve"> eura, odnosno </w:t>
      </w:r>
      <w:r w:rsidR="00A1387E">
        <w:rPr>
          <w:rFonts w:ascii="Arial" w:hAnsi="Arial" w:cs="Arial"/>
          <w:sz w:val="24"/>
          <w:szCs w:val="24"/>
        </w:rPr>
        <w:t>73,00</w:t>
      </w:r>
      <w:r w:rsidRPr="004103CB">
        <w:rPr>
          <w:rFonts w:ascii="Arial" w:hAnsi="Arial" w:cs="Arial"/>
          <w:sz w:val="24"/>
          <w:szCs w:val="24"/>
        </w:rPr>
        <w:t xml:space="preserve">% Plana, a u odnosu na jednako izvještajno razdoblje prethodne godine realizirani su s indeksom </w:t>
      </w:r>
      <w:r w:rsidR="00A1387E">
        <w:rPr>
          <w:rFonts w:ascii="Arial" w:hAnsi="Arial" w:cs="Arial"/>
          <w:sz w:val="24"/>
          <w:szCs w:val="24"/>
        </w:rPr>
        <w:t>118,30</w:t>
      </w:r>
      <w:r w:rsidRPr="004103CB">
        <w:rPr>
          <w:rFonts w:ascii="Arial" w:hAnsi="Arial" w:cs="Arial"/>
          <w:sz w:val="24"/>
          <w:szCs w:val="24"/>
        </w:rPr>
        <w:t>%, odnose se na prihode iznajmljivanja sportske dvorane i poslovnog prostora samposlužnog aparata za tople i hladne napitke</w:t>
      </w:r>
      <w:r w:rsidR="004103CB" w:rsidRPr="004103CB">
        <w:rPr>
          <w:rFonts w:ascii="Arial" w:hAnsi="Arial" w:cs="Arial"/>
          <w:sz w:val="24"/>
          <w:szCs w:val="24"/>
        </w:rPr>
        <w:t>.</w:t>
      </w:r>
      <w:r w:rsidR="00FE4588" w:rsidRPr="004103CB">
        <w:rPr>
          <w:rFonts w:ascii="Arial" w:hAnsi="Arial" w:cs="Arial"/>
          <w:sz w:val="24"/>
          <w:szCs w:val="24"/>
        </w:rPr>
        <w:t xml:space="preserve">  </w:t>
      </w:r>
    </w:p>
    <w:p w14:paraId="56B27D95" w14:textId="77777777" w:rsidR="007863A6" w:rsidRPr="00EF793E" w:rsidRDefault="007863A6" w:rsidP="004103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0F6F4E1" w14:textId="09424437" w:rsidR="004103CB" w:rsidRPr="004103CB" w:rsidRDefault="004C17A6" w:rsidP="004103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103CB">
        <w:rPr>
          <w:rFonts w:ascii="Arial" w:hAnsi="Arial" w:cs="Arial"/>
          <w:b/>
          <w:sz w:val="24"/>
          <w:szCs w:val="24"/>
        </w:rPr>
        <w:t>RASHODI</w:t>
      </w:r>
    </w:p>
    <w:p w14:paraId="0651A9A9" w14:textId="78F83B86" w:rsidR="004C17A6" w:rsidRPr="004103CB" w:rsidRDefault="004C17A6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Ukupni rashodi ostvareni su u iznosu od </w:t>
      </w:r>
      <w:r w:rsidR="00A1387E">
        <w:rPr>
          <w:rFonts w:ascii="Arial" w:hAnsi="Arial" w:cs="Arial"/>
          <w:sz w:val="24"/>
          <w:szCs w:val="24"/>
        </w:rPr>
        <w:t>2.300.400,67</w:t>
      </w:r>
      <w:r w:rsidR="000053E4" w:rsidRPr="004103CB">
        <w:rPr>
          <w:rFonts w:ascii="Arial" w:hAnsi="Arial" w:cs="Arial"/>
          <w:sz w:val="24"/>
          <w:szCs w:val="24"/>
        </w:rPr>
        <w:t xml:space="preserve"> eura</w:t>
      </w:r>
      <w:r w:rsidRPr="004103CB">
        <w:rPr>
          <w:rFonts w:ascii="Arial" w:hAnsi="Arial" w:cs="Arial"/>
          <w:sz w:val="24"/>
          <w:szCs w:val="24"/>
        </w:rPr>
        <w:t xml:space="preserve">, odnosno </w:t>
      </w:r>
      <w:r w:rsidR="00A1387E">
        <w:rPr>
          <w:rFonts w:ascii="Arial" w:hAnsi="Arial" w:cs="Arial"/>
          <w:sz w:val="24"/>
          <w:szCs w:val="24"/>
        </w:rPr>
        <w:t>56,62</w:t>
      </w:r>
      <w:r w:rsidR="004103CB" w:rsidRPr="004103CB">
        <w:rPr>
          <w:rFonts w:ascii="Arial" w:hAnsi="Arial" w:cs="Arial"/>
          <w:sz w:val="24"/>
          <w:szCs w:val="24"/>
        </w:rPr>
        <w:t>%</w:t>
      </w:r>
      <w:r w:rsidRPr="004103CB">
        <w:rPr>
          <w:rFonts w:ascii="Arial" w:hAnsi="Arial" w:cs="Arial"/>
          <w:sz w:val="24"/>
          <w:szCs w:val="24"/>
        </w:rPr>
        <w:t xml:space="preserve"> u odnosu na Plan</w:t>
      </w:r>
      <w:r w:rsidR="004103CB" w:rsidRPr="004103CB">
        <w:rPr>
          <w:rFonts w:ascii="Arial" w:hAnsi="Arial" w:cs="Arial"/>
          <w:sz w:val="24"/>
          <w:szCs w:val="24"/>
        </w:rPr>
        <w:t xml:space="preserve"> odnosno zadnji Rebalans u</w:t>
      </w:r>
      <w:r w:rsidRPr="004103CB">
        <w:rPr>
          <w:rFonts w:ascii="Arial" w:hAnsi="Arial" w:cs="Arial"/>
          <w:sz w:val="24"/>
          <w:szCs w:val="24"/>
        </w:rPr>
        <w:t xml:space="preserve"> 202</w:t>
      </w:r>
      <w:r w:rsidR="00AD21B3">
        <w:rPr>
          <w:rFonts w:ascii="Arial" w:hAnsi="Arial" w:cs="Arial"/>
          <w:sz w:val="24"/>
          <w:szCs w:val="24"/>
        </w:rPr>
        <w:t>5</w:t>
      </w:r>
      <w:r w:rsidRPr="004103CB">
        <w:rPr>
          <w:rFonts w:ascii="Arial" w:hAnsi="Arial" w:cs="Arial"/>
          <w:sz w:val="24"/>
          <w:szCs w:val="24"/>
        </w:rPr>
        <w:t>., a u odnosu na isto razdoblje prethodne godi</w:t>
      </w:r>
      <w:r w:rsidR="002801EF" w:rsidRPr="004103CB">
        <w:rPr>
          <w:rFonts w:ascii="Arial" w:hAnsi="Arial" w:cs="Arial"/>
          <w:sz w:val="24"/>
          <w:szCs w:val="24"/>
        </w:rPr>
        <w:t xml:space="preserve">ne realizirani su sa indeksom </w:t>
      </w:r>
      <w:r w:rsidR="00A1387E">
        <w:rPr>
          <w:rFonts w:ascii="Arial" w:hAnsi="Arial" w:cs="Arial"/>
          <w:sz w:val="24"/>
          <w:szCs w:val="24"/>
        </w:rPr>
        <w:t>123,41</w:t>
      </w:r>
      <w:r w:rsidR="002801EF" w:rsidRPr="004103CB">
        <w:rPr>
          <w:rFonts w:ascii="Arial" w:hAnsi="Arial" w:cs="Arial"/>
          <w:sz w:val="24"/>
          <w:szCs w:val="24"/>
        </w:rPr>
        <w:t>%</w:t>
      </w:r>
      <w:r w:rsidR="000053E4" w:rsidRPr="004103CB">
        <w:rPr>
          <w:rFonts w:ascii="Arial" w:hAnsi="Arial" w:cs="Arial"/>
          <w:sz w:val="24"/>
          <w:szCs w:val="24"/>
        </w:rPr>
        <w:t>.</w:t>
      </w:r>
      <w:r w:rsidRPr="004103CB">
        <w:rPr>
          <w:rFonts w:ascii="Arial" w:hAnsi="Arial" w:cs="Arial"/>
          <w:sz w:val="24"/>
          <w:szCs w:val="24"/>
        </w:rPr>
        <w:t xml:space="preserve"> </w:t>
      </w:r>
    </w:p>
    <w:p w14:paraId="4631D474" w14:textId="77777777" w:rsidR="004103CB" w:rsidRPr="004103CB" w:rsidRDefault="004103CB" w:rsidP="004103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E66116" w14:textId="641EC7CF" w:rsidR="004C17A6" w:rsidRPr="004103CB" w:rsidRDefault="004C17A6" w:rsidP="004103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U tablici u nastavku prikazano je izvršenje rashoda </w:t>
      </w:r>
      <w:r w:rsidR="00780D26">
        <w:rPr>
          <w:rFonts w:ascii="Arial" w:hAnsi="Arial" w:cs="Arial"/>
          <w:sz w:val="24"/>
          <w:szCs w:val="24"/>
        </w:rPr>
        <w:t>prema ekonomskoj klasifikaciji</w:t>
      </w:r>
      <w:r w:rsidRPr="004103CB">
        <w:rPr>
          <w:rFonts w:ascii="Arial" w:hAnsi="Arial" w:cs="Arial"/>
          <w:sz w:val="24"/>
          <w:szCs w:val="24"/>
        </w:rPr>
        <w:t xml:space="preserve"> te usporedba s realizacijom u prethodnoj godini:</w:t>
      </w:r>
    </w:p>
    <w:p w14:paraId="53D6FD9B" w14:textId="63C5D405" w:rsidR="0016389F" w:rsidRPr="00EF793E" w:rsidRDefault="0016389F" w:rsidP="004103CB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02173D10" w14:textId="1CA95E82" w:rsidR="00701CC7" w:rsidRDefault="00780D26" w:rsidP="002819B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515A842B" wp14:editId="2ADE7B63">
            <wp:extent cx="6065849" cy="71323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1157" cy="71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6796" w14:textId="74D985FC" w:rsidR="00780D26" w:rsidRDefault="00780D26" w:rsidP="002819B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4B1D132" wp14:editId="5A32DB46">
            <wp:extent cx="6056917" cy="1272540"/>
            <wp:effectExtent l="0" t="0" r="127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222" cy="12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125A" w14:textId="5AF38CF6" w:rsidR="00780D26" w:rsidRPr="00EF793E" w:rsidRDefault="00780D26" w:rsidP="002819B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4C739813" wp14:editId="699CEE09">
            <wp:extent cx="5989320" cy="7291705"/>
            <wp:effectExtent l="0" t="0" r="0" b="444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933" cy="73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23DF" w14:textId="77777777" w:rsidR="005E11CE" w:rsidRPr="00D55DCE" w:rsidRDefault="005E11CE" w:rsidP="004103C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 xml:space="preserve">4.1.RASHODI ZA ZAPOSLENE </w:t>
      </w:r>
    </w:p>
    <w:p w14:paraId="631F0B36" w14:textId="1D1F78C5" w:rsidR="005E11CE" w:rsidRPr="00D55DCE" w:rsidRDefault="005E11CE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 xml:space="preserve">Rashodi za zaposlene u </w:t>
      </w:r>
      <w:r w:rsidR="00850EC0">
        <w:rPr>
          <w:rFonts w:ascii="Arial" w:hAnsi="Arial" w:cs="Arial"/>
          <w:sz w:val="24"/>
          <w:szCs w:val="24"/>
        </w:rPr>
        <w:t xml:space="preserve">prvoj polovici </w:t>
      </w:r>
      <w:r w:rsidRPr="00D55DC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Pr="00D55DCE">
        <w:rPr>
          <w:rFonts w:ascii="Arial" w:hAnsi="Arial" w:cs="Arial"/>
          <w:sz w:val="24"/>
          <w:szCs w:val="24"/>
        </w:rPr>
        <w:t>.</w:t>
      </w:r>
      <w:r w:rsidR="00062606" w:rsidRPr="00D55DCE">
        <w:rPr>
          <w:rFonts w:ascii="Arial" w:hAnsi="Arial" w:cs="Arial"/>
          <w:sz w:val="24"/>
          <w:szCs w:val="24"/>
        </w:rPr>
        <w:t xml:space="preserve"> </w:t>
      </w:r>
      <w:r w:rsidRPr="00D55DCE">
        <w:rPr>
          <w:rFonts w:ascii="Arial" w:hAnsi="Arial" w:cs="Arial"/>
          <w:sz w:val="24"/>
          <w:szCs w:val="24"/>
        </w:rPr>
        <w:t>god. planirani su</w:t>
      </w:r>
      <w:r w:rsidR="00D55DCE" w:rsidRPr="00D55DCE">
        <w:rPr>
          <w:rFonts w:ascii="Arial" w:hAnsi="Arial" w:cs="Arial"/>
          <w:sz w:val="24"/>
          <w:szCs w:val="24"/>
        </w:rPr>
        <w:t xml:space="preserve"> na zadnjem rebalansu</w:t>
      </w:r>
      <w:r w:rsidRPr="00D55DCE">
        <w:rPr>
          <w:rFonts w:ascii="Arial" w:hAnsi="Arial" w:cs="Arial"/>
          <w:sz w:val="24"/>
          <w:szCs w:val="24"/>
        </w:rPr>
        <w:t xml:space="preserve"> u iznosu od </w:t>
      </w:r>
      <w:r w:rsidR="00850EC0">
        <w:rPr>
          <w:rFonts w:ascii="Arial" w:hAnsi="Arial" w:cs="Arial"/>
          <w:sz w:val="24"/>
          <w:szCs w:val="24"/>
        </w:rPr>
        <w:t>3</w:t>
      </w:r>
      <w:r w:rsidR="00D55DCE" w:rsidRPr="00D55DCE">
        <w:rPr>
          <w:rFonts w:ascii="Arial" w:hAnsi="Arial" w:cs="Arial"/>
          <w:sz w:val="24"/>
          <w:szCs w:val="24"/>
        </w:rPr>
        <w:t>.</w:t>
      </w:r>
      <w:r w:rsidR="00780D26">
        <w:rPr>
          <w:rFonts w:ascii="Arial" w:hAnsi="Arial" w:cs="Arial"/>
          <w:sz w:val="24"/>
          <w:szCs w:val="24"/>
        </w:rPr>
        <w:t>201.370,00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, a obuhvaćaju bruto plaće za redovan i prekovremeni rad, doprinose na plaće i ostale rashode za zaposlene. </w:t>
      </w:r>
      <w:r w:rsidR="00850EC0">
        <w:rPr>
          <w:rFonts w:ascii="Arial" w:hAnsi="Arial" w:cs="Arial"/>
          <w:sz w:val="24"/>
          <w:szCs w:val="24"/>
        </w:rPr>
        <w:t>Do 30. lipnja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9467D4" w:rsidRPr="00D55DC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="009467D4" w:rsidRPr="00D55DCE">
        <w:rPr>
          <w:rFonts w:ascii="Arial" w:hAnsi="Arial" w:cs="Arial"/>
          <w:sz w:val="24"/>
          <w:szCs w:val="24"/>
        </w:rPr>
        <w:t>.</w:t>
      </w:r>
      <w:r w:rsidR="00D55DCE" w:rsidRPr="00D55DCE">
        <w:rPr>
          <w:rFonts w:ascii="Arial" w:hAnsi="Arial" w:cs="Arial"/>
          <w:sz w:val="24"/>
          <w:szCs w:val="24"/>
        </w:rPr>
        <w:t xml:space="preserve"> </w:t>
      </w:r>
      <w:r w:rsidR="009467D4" w:rsidRPr="00D55DCE">
        <w:rPr>
          <w:rFonts w:ascii="Arial" w:hAnsi="Arial" w:cs="Arial"/>
          <w:sz w:val="24"/>
          <w:szCs w:val="24"/>
        </w:rPr>
        <w:t>g.</w:t>
      </w:r>
      <w:r w:rsidR="00062606" w:rsidRPr="00D55DCE">
        <w:rPr>
          <w:rFonts w:ascii="Arial" w:hAnsi="Arial" w:cs="Arial"/>
          <w:sz w:val="24"/>
          <w:szCs w:val="24"/>
        </w:rPr>
        <w:t xml:space="preserve"> realizirano je </w:t>
      </w:r>
      <w:r w:rsidR="00850EC0">
        <w:rPr>
          <w:rFonts w:ascii="Arial" w:hAnsi="Arial" w:cs="Arial"/>
          <w:sz w:val="24"/>
          <w:szCs w:val="24"/>
        </w:rPr>
        <w:lastRenderedPageBreak/>
        <w:t>1.</w:t>
      </w:r>
      <w:r w:rsidR="00780D26">
        <w:rPr>
          <w:rFonts w:ascii="Arial" w:hAnsi="Arial" w:cs="Arial"/>
          <w:sz w:val="24"/>
          <w:szCs w:val="24"/>
        </w:rPr>
        <w:t>764.602,13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 ili </w:t>
      </w:r>
      <w:r w:rsidR="00780D26">
        <w:rPr>
          <w:rFonts w:ascii="Arial" w:hAnsi="Arial" w:cs="Arial"/>
          <w:sz w:val="24"/>
          <w:szCs w:val="24"/>
        </w:rPr>
        <w:t>55,12</w:t>
      </w:r>
      <w:r w:rsidRPr="00D55DCE">
        <w:rPr>
          <w:rFonts w:ascii="Arial" w:hAnsi="Arial" w:cs="Arial"/>
          <w:sz w:val="24"/>
          <w:szCs w:val="24"/>
        </w:rPr>
        <w:t xml:space="preserve">% planiranih rashoda, a u odnosu na isto razdoblje prethodne godine </w:t>
      </w:r>
      <w:r w:rsidR="00780D26">
        <w:rPr>
          <w:rFonts w:ascii="Arial" w:hAnsi="Arial" w:cs="Arial"/>
          <w:sz w:val="24"/>
          <w:szCs w:val="24"/>
        </w:rPr>
        <w:t>127,14</w:t>
      </w:r>
      <w:r w:rsidR="009467D4" w:rsidRPr="00D55DCE">
        <w:rPr>
          <w:rFonts w:ascii="Arial" w:hAnsi="Arial" w:cs="Arial"/>
          <w:sz w:val="24"/>
          <w:szCs w:val="24"/>
        </w:rPr>
        <w:t>%</w:t>
      </w:r>
      <w:r w:rsidRPr="00D55DCE">
        <w:rPr>
          <w:rFonts w:ascii="Arial" w:hAnsi="Arial" w:cs="Arial"/>
          <w:sz w:val="24"/>
          <w:szCs w:val="24"/>
        </w:rPr>
        <w:t>.</w:t>
      </w:r>
    </w:p>
    <w:p w14:paraId="237C7C0F" w14:textId="77777777" w:rsidR="00D55DCE" w:rsidRPr="004103CB" w:rsidRDefault="00D55DCE" w:rsidP="004103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8FDF15B" w14:textId="5DE34627" w:rsidR="005E11CE" w:rsidRPr="00D55DCE" w:rsidRDefault="005E11CE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 xml:space="preserve">4.2.MATERIJALNI RASHODI </w:t>
      </w:r>
    </w:p>
    <w:p w14:paraId="012108A1" w14:textId="6A8964D1" w:rsidR="00DE1122" w:rsidRPr="00D55DCE" w:rsidRDefault="005E11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 xml:space="preserve">Materijalni rashodi planirani su u iznosu od </w:t>
      </w:r>
      <w:r w:rsidR="00780D26">
        <w:rPr>
          <w:rFonts w:ascii="Arial" w:hAnsi="Arial" w:cs="Arial"/>
          <w:sz w:val="24"/>
          <w:szCs w:val="24"/>
        </w:rPr>
        <w:t>813.248,00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. Realizacija materijalnih rashoda </w:t>
      </w:r>
      <w:r w:rsidR="00850EC0">
        <w:rPr>
          <w:rFonts w:ascii="Arial" w:hAnsi="Arial" w:cs="Arial"/>
          <w:sz w:val="24"/>
          <w:szCs w:val="24"/>
        </w:rPr>
        <w:t>do 30.lipnja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640315" w:rsidRPr="00D55DCE">
        <w:rPr>
          <w:rFonts w:ascii="Arial" w:hAnsi="Arial" w:cs="Arial"/>
          <w:sz w:val="24"/>
          <w:szCs w:val="24"/>
        </w:rPr>
        <w:t>202</w:t>
      </w:r>
      <w:r w:rsidR="00AD21B3">
        <w:rPr>
          <w:rFonts w:ascii="Arial" w:hAnsi="Arial" w:cs="Arial"/>
          <w:sz w:val="24"/>
          <w:szCs w:val="24"/>
        </w:rPr>
        <w:t>5</w:t>
      </w:r>
      <w:r w:rsidR="00640315" w:rsidRPr="00D55DCE">
        <w:rPr>
          <w:rFonts w:ascii="Arial" w:hAnsi="Arial" w:cs="Arial"/>
          <w:sz w:val="24"/>
          <w:szCs w:val="24"/>
        </w:rPr>
        <w:t>.g.</w:t>
      </w:r>
      <w:r w:rsidRPr="00D55DCE">
        <w:rPr>
          <w:rFonts w:ascii="Arial" w:hAnsi="Arial" w:cs="Arial"/>
          <w:sz w:val="24"/>
          <w:szCs w:val="24"/>
        </w:rPr>
        <w:t xml:space="preserve"> u iznosu od </w:t>
      </w:r>
      <w:r w:rsidR="00780D26">
        <w:rPr>
          <w:rFonts w:ascii="Arial" w:hAnsi="Arial" w:cs="Arial"/>
          <w:sz w:val="24"/>
          <w:szCs w:val="24"/>
        </w:rPr>
        <w:t>532.905,10</w:t>
      </w:r>
      <w:r w:rsidRPr="00D55DCE">
        <w:rPr>
          <w:rFonts w:ascii="Arial" w:hAnsi="Arial" w:cs="Arial"/>
          <w:sz w:val="24"/>
          <w:szCs w:val="24"/>
        </w:rPr>
        <w:t xml:space="preserve"> čin</w:t>
      </w:r>
      <w:r w:rsidR="00850EC0">
        <w:rPr>
          <w:rFonts w:ascii="Arial" w:hAnsi="Arial" w:cs="Arial"/>
          <w:sz w:val="24"/>
          <w:szCs w:val="24"/>
        </w:rPr>
        <w:t>i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780D26">
        <w:rPr>
          <w:rFonts w:ascii="Arial" w:hAnsi="Arial" w:cs="Arial"/>
          <w:sz w:val="24"/>
          <w:szCs w:val="24"/>
        </w:rPr>
        <w:t>65,53</w:t>
      </w:r>
      <w:r w:rsidRPr="00D55DCE">
        <w:rPr>
          <w:rFonts w:ascii="Arial" w:hAnsi="Arial" w:cs="Arial"/>
          <w:sz w:val="24"/>
          <w:szCs w:val="24"/>
        </w:rPr>
        <w:t xml:space="preserve">% godišnjeg Plana, a u odnosu na isto razdoblje prethodne godine realizirani su sa indeksom </w:t>
      </w:r>
      <w:r w:rsidR="00780D26">
        <w:rPr>
          <w:rFonts w:ascii="Arial" w:hAnsi="Arial" w:cs="Arial"/>
          <w:sz w:val="24"/>
          <w:szCs w:val="24"/>
        </w:rPr>
        <w:t>112,84</w:t>
      </w:r>
      <w:r w:rsidR="00D55DCE">
        <w:rPr>
          <w:rFonts w:ascii="Arial" w:hAnsi="Arial" w:cs="Arial"/>
          <w:sz w:val="24"/>
          <w:szCs w:val="24"/>
        </w:rPr>
        <w:t>%.</w:t>
      </w:r>
      <w:r w:rsidRPr="00D55DCE">
        <w:rPr>
          <w:rFonts w:ascii="Arial" w:hAnsi="Arial" w:cs="Arial"/>
          <w:sz w:val="24"/>
          <w:szCs w:val="24"/>
        </w:rPr>
        <w:t xml:space="preserve"> </w:t>
      </w:r>
    </w:p>
    <w:p w14:paraId="0A0ADADC" w14:textId="77777777" w:rsidR="00D55DCE" w:rsidRPr="004103CB" w:rsidRDefault="00D55DCE" w:rsidP="00D55DC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B54B06C" w14:textId="1D39F158" w:rsidR="005E11CE" w:rsidRPr="00D55DCE" w:rsidRDefault="007863A6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>4.3.</w:t>
      </w:r>
      <w:r w:rsidR="005E11CE" w:rsidRPr="00D55DCE">
        <w:rPr>
          <w:rFonts w:ascii="Arial" w:hAnsi="Arial" w:cs="Arial"/>
          <w:sz w:val="24"/>
          <w:szCs w:val="24"/>
          <w:u w:val="single"/>
        </w:rPr>
        <w:t>FINANCIJSKI RASHODI</w:t>
      </w:r>
    </w:p>
    <w:p w14:paraId="2B011852" w14:textId="22D29D17" w:rsidR="005E11CE" w:rsidRDefault="005E11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>Financijski rashodi ostvareni u iznos</w:t>
      </w:r>
      <w:r w:rsidR="001900B1" w:rsidRPr="00D55DCE">
        <w:rPr>
          <w:rFonts w:ascii="Arial" w:hAnsi="Arial" w:cs="Arial"/>
          <w:sz w:val="24"/>
          <w:szCs w:val="24"/>
        </w:rPr>
        <w:t xml:space="preserve">u od </w:t>
      </w:r>
      <w:r w:rsidR="00780D26">
        <w:rPr>
          <w:rFonts w:ascii="Arial" w:hAnsi="Arial" w:cs="Arial"/>
          <w:sz w:val="24"/>
          <w:szCs w:val="24"/>
        </w:rPr>
        <w:t>100,68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, </w:t>
      </w:r>
      <w:r w:rsidR="001900B1" w:rsidRPr="00D55DCE">
        <w:rPr>
          <w:rFonts w:ascii="Arial" w:hAnsi="Arial" w:cs="Arial"/>
          <w:sz w:val="24"/>
          <w:szCs w:val="24"/>
        </w:rPr>
        <w:t>ili</w:t>
      </w:r>
      <w:r w:rsidR="00850EC0">
        <w:rPr>
          <w:rFonts w:ascii="Arial" w:hAnsi="Arial" w:cs="Arial"/>
          <w:sz w:val="24"/>
          <w:szCs w:val="24"/>
        </w:rPr>
        <w:t xml:space="preserve"> </w:t>
      </w:r>
      <w:r w:rsidR="00780D26">
        <w:rPr>
          <w:rFonts w:ascii="Arial" w:hAnsi="Arial" w:cs="Arial"/>
          <w:sz w:val="24"/>
          <w:szCs w:val="24"/>
        </w:rPr>
        <w:t>28,36</w:t>
      </w:r>
      <w:r w:rsidR="001900B1" w:rsidRPr="00D55DCE">
        <w:rPr>
          <w:rFonts w:ascii="Arial" w:hAnsi="Arial" w:cs="Arial"/>
          <w:sz w:val="24"/>
          <w:szCs w:val="24"/>
        </w:rPr>
        <w:t>% godišnjeg Plana</w:t>
      </w:r>
      <w:r w:rsidR="00D55DCE" w:rsidRPr="00D55DCE">
        <w:rPr>
          <w:rFonts w:ascii="Arial" w:hAnsi="Arial" w:cs="Arial"/>
          <w:sz w:val="24"/>
          <w:szCs w:val="24"/>
        </w:rPr>
        <w:t>,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1900B1" w:rsidRPr="00D55DCE">
        <w:rPr>
          <w:rFonts w:ascii="Arial" w:hAnsi="Arial" w:cs="Arial"/>
          <w:sz w:val="24"/>
          <w:szCs w:val="24"/>
        </w:rPr>
        <w:t xml:space="preserve">a odnose se na zatezne kamate </w:t>
      </w:r>
      <w:r w:rsidR="00E346C6" w:rsidRPr="00D55DCE">
        <w:rPr>
          <w:rFonts w:ascii="Arial" w:hAnsi="Arial" w:cs="Arial"/>
          <w:sz w:val="24"/>
          <w:szCs w:val="24"/>
        </w:rPr>
        <w:t>tužbi zaposlenika radi ostvarivanja kolektivnim ugovorima zajamčenih prava zaposlenika javnih službi</w:t>
      </w:r>
      <w:r w:rsidR="00361AA7" w:rsidRPr="00D55DCE">
        <w:rPr>
          <w:rFonts w:ascii="Arial" w:hAnsi="Arial" w:cs="Arial"/>
          <w:sz w:val="24"/>
          <w:szCs w:val="24"/>
        </w:rPr>
        <w:t xml:space="preserve">. </w:t>
      </w:r>
    </w:p>
    <w:p w14:paraId="127C5F88" w14:textId="4869A1EC" w:rsidR="00E17B9C" w:rsidRDefault="00E17B9C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0ED52F" w14:textId="1D109C19" w:rsidR="005E11CE" w:rsidRPr="00D55DCE" w:rsidRDefault="007863A6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>4.4.</w:t>
      </w:r>
      <w:r w:rsidR="00D14778" w:rsidRPr="00D55DCE">
        <w:rPr>
          <w:rFonts w:ascii="Arial" w:hAnsi="Arial" w:cs="Arial"/>
          <w:sz w:val="24"/>
          <w:szCs w:val="24"/>
          <w:u w:val="single"/>
        </w:rPr>
        <w:t>OSTALI RASHODI</w:t>
      </w:r>
    </w:p>
    <w:p w14:paraId="28154C49" w14:textId="14ECF9AE" w:rsidR="00D14778" w:rsidRDefault="00D14778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>Ostali rasho</w:t>
      </w:r>
      <w:r w:rsidR="00780D26">
        <w:rPr>
          <w:rFonts w:ascii="Arial" w:hAnsi="Arial" w:cs="Arial"/>
          <w:sz w:val="24"/>
          <w:szCs w:val="24"/>
        </w:rPr>
        <w:t>di planirani</w:t>
      </w:r>
      <w:r w:rsidR="00E346C6" w:rsidRPr="00D55DCE">
        <w:rPr>
          <w:rFonts w:ascii="Arial" w:hAnsi="Arial" w:cs="Arial"/>
          <w:sz w:val="24"/>
          <w:szCs w:val="24"/>
        </w:rPr>
        <w:t xml:space="preserve"> su u iznosu</w:t>
      </w:r>
      <w:r w:rsidR="00780D26">
        <w:rPr>
          <w:rFonts w:ascii="Arial" w:hAnsi="Arial" w:cs="Arial"/>
          <w:sz w:val="24"/>
          <w:szCs w:val="24"/>
        </w:rPr>
        <w:t xml:space="preserve"> 3.9</w:t>
      </w:r>
      <w:r w:rsidR="00E346C6" w:rsidRPr="00D55DCE">
        <w:rPr>
          <w:rFonts w:ascii="Arial" w:hAnsi="Arial" w:cs="Arial"/>
          <w:sz w:val="24"/>
          <w:szCs w:val="24"/>
        </w:rPr>
        <w:t>94,00</w:t>
      </w:r>
      <w:r w:rsidRPr="00D55DCE">
        <w:rPr>
          <w:rFonts w:ascii="Arial" w:hAnsi="Arial" w:cs="Arial"/>
          <w:sz w:val="24"/>
          <w:szCs w:val="24"/>
        </w:rPr>
        <w:t xml:space="preserve"> eura, a namijenjeni su za opskrbu školskih ustanova besplatnim zalihama higijenskih potrepština  te </w:t>
      </w:r>
      <w:r w:rsidR="00D55DCE" w:rsidRPr="00D55DCE">
        <w:rPr>
          <w:rFonts w:ascii="Arial" w:hAnsi="Arial" w:cs="Arial"/>
          <w:sz w:val="24"/>
          <w:szCs w:val="24"/>
        </w:rPr>
        <w:t>realizirani u iznosu 1.2</w:t>
      </w:r>
      <w:r w:rsidR="00780D26">
        <w:rPr>
          <w:rFonts w:ascii="Arial" w:hAnsi="Arial" w:cs="Arial"/>
          <w:sz w:val="24"/>
          <w:szCs w:val="24"/>
        </w:rPr>
        <w:t>60</w:t>
      </w:r>
      <w:r w:rsidR="00850EC0">
        <w:rPr>
          <w:rFonts w:ascii="Arial" w:hAnsi="Arial" w:cs="Arial"/>
          <w:sz w:val="24"/>
          <w:szCs w:val="24"/>
        </w:rPr>
        <w:t>,00</w:t>
      </w:r>
      <w:r w:rsidR="00D55DCE" w:rsidRPr="00D55DCE">
        <w:rPr>
          <w:rFonts w:ascii="Arial" w:hAnsi="Arial" w:cs="Arial"/>
          <w:sz w:val="24"/>
          <w:szCs w:val="24"/>
        </w:rPr>
        <w:t xml:space="preserve"> ili </w:t>
      </w:r>
      <w:r w:rsidR="00780D26">
        <w:rPr>
          <w:rFonts w:ascii="Arial" w:hAnsi="Arial" w:cs="Arial"/>
          <w:sz w:val="24"/>
          <w:szCs w:val="24"/>
        </w:rPr>
        <w:t>97,37</w:t>
      </w:r>
      <w:r w:rsidR="00D55DCE" w:rsidRPr="00D55DCE">
        <w:rPr>
          <w:rFonts w:ascii="Arial" w:hAnsi="Arial" w:cs="Arial"/>
          <w:sz w:val="24"/>
          <w:szCs w:val="24"/>
        </w:rPr>
        <w:t>%.</w:t>
      </w:r>
      <w:r w:rsidR="00780D26">
        <w:rPr>
          <w:rFonts w:ascii="Arial" w:hAnsi="Arial" w:cs="Arial"/>
          <w:sz w:val="24"/>
          <w:szCs w:val="24"/>
        </w:rPr>
        <w:t xml:space="preserve">, u odnosu na isto razdoblje prošle godine, te za financiranje prijevoza i didaktičkih sredstava djeci koja imaju teškoće u razvoju </w:t>
      </w:r>
      <w:r w:rsidR="008D2D89">
        <w:rPr>
          <w:rFonts w:ascii="Arial" w:hAnsi="Arial" w:cs="Arial"/>
          <w:sz w:val="24"/>
          <w:szCs w:val="24"/>
        </w:rPr>
        <w:t xml:space="preserve">planirano 2.700,00 eura, </w:t>
      </w:r>
      <w:r w:rsidR="00CB5E46">
        <w:rPr>
          <w:rFonts w:ascii="Arial" w:hAnsi="Arial" w:cs="Arial"/>
          <w:sz w:val="24"/>
          <w:szCs w:val="24"/>
        </w:rPr>
        <w:t>realizirano</w:t>
      </w:r>
      <w:r w:rsidR="008D2D89">
        <w:rPr>
          <w:rFonts w:ascii="Arial" w:hAnsi="Arial" w:cs="Arial"/>
          <w:sz w:val="24"/>
          <w:szCs w:val="24"/>
        </w:rPr>
        <w:t xml:space="preserve"> 1.532,76 eura ili 56,77% Plana. </w:t>
      </w:r>
    </w:p>
    <w:p w14:paraId="32D7233F" w14:textId="77777777" w:rsidR="00D55DCE" w:rsidRPr="00D55DCE" w:rsidRDefault="00D55D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C48B0" w14:textId="03B6A57B" w:rsidR="005E11CE" w:rsidRPr="00951D1C" w:rsidRDefault="005E11CE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51D1C">
        <w:rPr>
          <w:rFonts w:ascii="Arial" w:hAnsi="Arial" w:cs="Arial"/>
          <w:sz w:val="24"/>
          <w:szCs w:val="24"/>
          <w:u w:val="single"/>
        </w:rPr>
        <w:t>4.</w:t>
      </w:r>
      <w:r w:rsidR="00D14778" w:rsidRPr="00951D1C">
        <w:rPr>
          <w:rFonts w:ascii="Arial" w:hAnsi="Arial" w:cs="Arial"/>
          <w:sz w:val="24"/>
          <w:szCs w:val="24"/>
          <w:u w:val="single"/>
        </w:rPr>
        <w:t>5</w:t>
      </w:r>
      <w:r w:rsidRPr="00951D1C">
        <w:rPr>
          <w:rFonts w:ascii="Arial" w:hAnsi="Arial" w:cs="Arial"/>
          <w:sz w:val="24"/>
          <w:szCs w:val="24"/>
          <w:u w:val="single"/>
        </w:rPr>
        <w:t xml:space="preserve">.RASHODI ZA NABAVU NEFINANCIJSKE IMOVINE </w:t>
      </w:r>
    </w:p>
    <w:p w14:paraId="6D6B0A67" w14:textId="03726D4A" w:rsidR="005E11CE" w:rsidRDefault="00241520" w:rsidP="00832A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D1C">
        <w:rPr>
          <w:rFonts w:ascii="Arial" w:hAnsi="Arial" w:cs="Arial"/>
          <w:sz w:val="24"/>
          <w:szCs w:val="24"/>
        </w:rPr>
        <w:t>Rash</w:t>
      </w:r>
      <w:r w:rsidR="005A2C5E" w:rsidRPr="00951D1C">
        <w:rPr>
          <w:rFonts w:ascii="Arial" w:hAnsi="Arial" w:cs="Arial"/>
          <w:sz w:val="24"/>
          <w:szCs w:val="24"/>
        </w:rPr>
        <w:t xml:space="preserve">odi za nabavu </w:t>
      </w:r>
      <w:r w:rsidR="00951D1C" w:rsidRPr="00951D1C">
        <w:rPr>
          <w:rFonts w:ascii="Arial" w:hAnsi="Arial" w:cs="Arial"/>
          <w:sz w:val="24"/>
          <w:szCs w:val="24"/>
        </w:rPr>
        <w:t>nefinancijske</w:t>
      </w:r>
      <w:r w:rsidRPr="00951D1C">
        <w:rPr>
          <w:rFonts w:ascii="Arial" w:hAnsi="Arial" w:cs="Arial"/>
          <w:sz w:val="24"/>
          <w:szCs w:val="24"/>
        </w:rPr>
        <w:t xml:space="preserve"> </w:t>
      </w:r>
      <w:r w:rsidR="00D14778" w:rsidRPr="00951D1C">
        <w:rPr>
          <w:rFonts w:ascii="Arial" w:hAnsi="Arial" w:cs="Arial"/>
          <w:sz w:val="24"/>
          <w:szCs w:val="24"/>
        </w:rPr>
        <w:t>imo</w:t>
      </w:r>
      <w:r w:rsidR="00E346C6" w:rsidRPr="00951D1C">
        <w:rPr>
          <w:rFonts w:ascii="Arial" w:hAnsi="Arial" w:cs="Arial"/>
          <w:sz w:val="24"/>
          <w:szCs w:val="24"/>
        </w:rPr>
        <w:t xml:space="preserve">vine planirani su u iznosu </w:t>
      </w:r>
      <w:r w:rsidR="00780D26">
        <w:rPr>
          <w:rFonts w:ascii="Arial" w:hAnsi="Arial" w:cs="Arial"/>
          <w:sz w:val="24"/>
          <w:szCs w:val="24"/>
        </w:rPr>
        <w:t>44.250,00 eura, a do kraja izvještajnog razdoblja nisu realizirani</w:t>
      </w:r>
      <w:r w:rsidR="005D1105">
        <w:rPr>
          <w:rFonts w:ascii="Arial" w:hAnsi="Arial" w:cs="Arial"/>
          <w:sz w:val="24"/>
          <w:szCs w:val="24"/>
        </w:rPr>
        <w:t>.</w:t>
      </w:r>
      <w:r w:rsidR="00832A8C">
        <w:rPr>
          <w:rFonts w:ascii="Arial" w:hAnsi="Arial" w:cs="Arial"/>
          <w:sz w:val="24"/>
          <w:szCs w:val="24"/>
        </w:rPr>
        <w:t xml:space="preserve"> Isti se odnose na nabavu udžbenika za školsku godinu 2025./2026. Toroškove u cijelosti pokriva MZOM.</w:t>
      </w:r>
    </w:p>
    <w:p w14:paraId="57D750C6" w14:textId="77777777" w:rsidR="00832A8C" w:rsidRPr="00832A8C" w:rsidRDefault="00832A8C" w:rsidP="00832A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7B0B1A" w14:textId="77777777" w:rsidR="005E11CE" w:rsidRPr="008A0D6D" w:rsidRDefault="005E11CE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A0D6D">
        <w:rPr>
          <w:rFonts w:ascii="Arial" w:hAnsi="Arial" w:cs="Arial"/>
          <w:b/>
          <w:sz w:val="24"/>
          <w:szCs w:val="24"/>
        </w:rPr>
        <w:t>RAČUN ZADUŽIVANJA/FINANCIRANJA</w:t>
      </w:r>
    </w:p>
    <w:p w14:paraId="6A757849" w14:textId="3ADFE96F" w:rsidR="00E346C6" w:rsidRPr="008A0D6D" w:rsidRDefault="00E346C6" w:rsidP="00281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t xml:space="preserve">Osnovna </w:t>
      </w:r>
      <w:r w:rsidR="00924108" w:rsidRPr="008A0D6D">
        <w:rPr>
          <w:rFonts w:ascii="Arial" w:hAnsi="Arial" w:cs="Arial"/>
          <w:sz w:val="24"/>
          <w:szCs w:val="24"/>
        </w:rPr>
        <w:t>škola</w:t>
      </w:r>
      <w:r w:rsidRPr="008A0D6D">
        <w:rPr>
          <w:rFonts w:ascii="Arial" w:hAnsi="Arial" w:cs="Arial"/>
          <w:sz w:val="24"/>
          <w:szCs w:val="24"/>
        </w:rPr>
        <w:t xml:space="preserve"> Antuna Mihanovića Petropoljskog</w:t>
      </w:r>
      <w:r w:rsidR="00924108" w:rsidRPr="008A0D6D">
        <w:rPr>
          <w:rFonts w:ascii="Arial" w:hAnsi="Arial" w:cs="Arial"/>
          <w:sz w:val="24"/>
          <w:szCs w:val="24"/>
        </w:rPr>
        <w:t xml:space="preserve"> Drniš nije se zaduživala u izvještajnom razdoblju</w:t>
      </w:r>
      <w:r w:rsidR="00A3467D" w:rsidRPr="008A0D6D">
        <w:rPr>
          <w:rFonts w:ascii="Arial" w:hAnsi="Arial" w:cs="Arial"/>
          <w:sz w:val="24"/>
          <w:szCs w:val="24"/>
        </w:rPr>
        <w:t>.</w:t>
      </w:r>
      <w:r w:rsidR="00924108" w:rsidRPr="008A0D6D">
        <w:rPr>
          <w:rFonts w:ascii="Arial" w:hAnsi="Arial" w:cs="Arial"/>
          <w:sz w:val="24"/>
          <w:szCs w:val="24"/>
        </w:rPr>
        <w:t xml:space="preserve"> </w:t>
      </w:r>
    </w:p>
    <w:p w14:paraId="443E171D" w14:textId="77777777" w:rsidR="0016389F" w:rsidRPr="00EF793E" w:rsidRDefault="0016389F" w:rsidP="002819B3">
      <w:pPr>
        <w:pStyle w:val="ListParagraph"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F768A11" w14:textId="2B71B51E" w:rsidR="00DF149C" w:rsidRPr="008A0D6D" w:rsidRDefault="005E11CE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A0D6D">
        <w:rPr>
          <w:rFonts w:ascii="Arial" w:hAnsi="Arial" w:cs="Arial"/>
          <w:b/>
          <w:sz w:val="24"/>
          <w:szCs w:val="24"/>
        </w:rPr>
        <w:t xml:space="preserve">POSEBNI DIO </w:t>
      </w:r>
    </w:p>
    <w:p w14:paraId="1BBD75EF" w14:textId="28A761FD" w:rsidR="008A0D6D" w:rsidRPr="008A0D6D" w:rsidRDefault="00D87A2E" w:rsidP="008A0D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t>U Posebnom dijelu Financijskog plana</w:t>
      </w:r>
      <w:r w:rsidR="005E11CE" w:rsidRPr="008A0D6D">
        <w:rPr>
          <w:rFonts w:ascii="Arial" w:hAnsi="Arial" w:cs="Arial"/>
          <w:sz w:val="24"/>
          <w:szCs w:val="24"/>
        </w:rPr>
        <w:t xml:space="preserve"> svi planirani i izvršeni rashodi i izdaci raspoređeni </w:t>
      </w:r>
      <w:r w:rsidR="000361E2" w:rsidRPr="008A0D6D">
        <w:rPr>
          <w:rFonts w:ascii="Arial" w:hAnsi="Arial" w:cs="Arial"/>
          <w:sz w:val="24"/>
          <w:szCs w:val="24"/>
        </w:rPr>
        <w:t xml:space="preserve">po izvorima financiranja i ekonomskoj klasifikaciji, raspoređeni u programe koji se sastoje od aktivnosti i projekata. </w:t>
      </w:r>
    </w:p>
    <w:p w14:paraId="548D4C58" w14:textId="401DBE2F" w:rsidR="005E11CE" w:rsidRDefault="005E11CE" w:rsidP="008A0D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lastRenderedPageBreak/>
        <w:t xml:space="preserve">Izvršenje po </w:t>
      </w:r>
      <w:r w:rsidR="0004358E" w:rsidRPr="008A0D6D">
        <w:rPr>
          <w:rFonts w:ascii="Arial" w:hAnsi="Arial" w:cs="Arial"/>
          <w:sz w:val="24"/>
          <w:szCs w:val="24"/>
        </w:rPr>
        <w:t>programskoj</w:t>
      </w:r>
      <w:r w:rsidRPr="008A0D6D">
        <w:rPr>
          <w:rFonts w:ascii="Arial" w:hAnsi="Arial" w:cs="Arial"/>
          <w:sz w:val="24"/>
          <w:szCs w:val="24"/>
        </w:rPr>
        <w:t xml:space="preserve"> klasifikaciji</w:t>
      </w:r>
      <w:r w:rsidR="00365282" w:rsidRPr="008A0D6D">
        <w:rPr>
          <w:rFonts w:ascii="Arial" w:hAnsi="Arial" w:cs="Arial"/>
          <w:sz w:val="24"/>
          <w:szCs w:val="24"/>
        </w:rPr>
        <w:t xml:space="preserve">, </w:t>
      </w:r>
      <w:r w:rsidRPr="008A0D6D">
        <w:rPr>
          <w:rFonts w:ascii="Arial" w:hAnsi="Arial" w:cs="Arial"/>
          <w:sz w:val="24"/>
          <w:szCs w:val="24"/>
        </w:rPr>
        <w:t xml:space="preserve"> iskazuje se u tablici sljedećeg sadržaja:</w:t>
      </w:r>
    </w:p>
    <w:p w14:paraId="5015F7A7" w14:textId="77777777" w:rsidR="00E17B9C" w:rsidRPr="008A0D6D" w:rsidRDefault="00E17B9C" w:rsidP="008A0D6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25"/>
        <w:gridCol w:w="1699"/>
        <w:gridCol w:w="1618"/>
        <w:gridCol w:w="1125"/>
      </w:tblGrid>
      <w:tr w:rsidR="001425E2" w:rsidRPr="00EF793E" w14:paraId="1BCC3285" w14:textId="77777777" w:rsidTr="00505C52">
        <w:tc>
          <w:tcPr>
            <w:tcW w:w="4625" w:type="dxa"/>
          </w:tcPr>
          <w:p w14:paraId="4BB6A356" w14:textId="77777777" w:rsidR="0085727A" w:rsidRPr="00EF793E" w:rsidRDefault="0085727A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>Program/Aktivnost</w:t>
            </w:r>
          </w:p>
        </w:tc>
        <w:tc>
          <w:tcPr>
            <w:tcW w:w="1699" w:type="dxa"/>
          </w:tcPr>
          <w:p w14:paraId="38A4EC24" w14:textId="0885AF0E" w:rsidR="0085727A" w:rsidRPr="00EF793E" w:rsidRDefault="008A0D6D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Rebalans</w:t>
            </w:r>
            <w:r w:rsidR="00E346C6" w:rsidRPr="00EF793E">
              <w:rPr>
                <w:rFonts w:ascii="Arial" w:hAnsi="Arial" w:cs="Arial"/>
                <w:b/>
                <w:sz w:val="24"/>
                <w:szCs w:val="24"/>
              </w:rPr>
              <w:t xml:space="preserve"> za 202</w:t>
            </w:r>
            <w:r w:rsidR="00AD21B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346C6" w:rsidRPr="00EF793E">
              <w:rPr>
                <w:rFonts w:ascii="Arial" w:hAnsi="Arial" w:cs="Arial"/>
                <w:b/>
                <w:sz w:val="24"/>
                <w:szCs w:val="24"/>
              </w:rPr>
              <w:t>. godinu</w:t>
            </w:r>
          </w:p>
        </w:tc>
        <w:tc>
          <w:tcPr>
            <w:tcW w:w="1618" w:type="dxa"/>
          </w:tcPr>
          <w:p w14:paraId="2A03E903" w14:textId="14B1F779" w:rsidR="0085727A" w:rsidRPr="00EF793E" w:rsidRDefault="00E346C6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727A" w:rsidRPr="00EF793E">
              <w:rPr>
                <w:rFonts w:ascii="Arial" w:hAnsi="Arial" w:cs="Arial"/>
                <w:b/>
                <w:sz w:val="24"/>
                <w:szCs w:val="24"/>
              </w:rPr>
              <w:t>Izvršenje</w:t>
            </w:r>
            <w:r w:rsidR="00A224A4" w:rsidRPr="00EF79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0EC0">
              <w:rPr>
                <w:rFonts w:ascii="Arial" w:hAnsi="Arial" w:cs="Arial"/>
                <w:b/>
                <w:sz w:val="24"/>
                <w:szCs w:val="24"/>
              </w:rPr>
              <w:t>30.06.202</w:t>
            </w:r>
            <w:r w:rsidR="00AD21B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50EC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14:paraId="730ED9F3" w14:textId="7E412AD8" w:rsidR="0085727A" w:rsidRPr="00EF793E" w:rsidRDefault="00E346C6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</w:tc>
      </w:tr>
      <w:tr w:rsidR="005802B6" w:rsidRPr="00EF793E" w14:paraId="18D185CD" w14:textId="77777777" w:rsidTr="00505C52">
        <w:tc>
          <w:tcPr>
            <w:tcW w:w="4625" w:type="dxa"/>
          </w:tcPr>
          <w:p w14:paraId="03BAD9E2" w14:textId="3C5ED836" w:rsidR="005802B6" w:rsidRPr="00EF793E" w:rsidRDefault="00E346C6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OSNOVNOŠKOLSKO OBRAZOVANJE- STANDARD</w:t>
            </w:r>
          </w:p>
        </w:tc>
        <w:tc>
          <w:tcPr>
            <w:tcW w:w="1699" w:type="dxa"/>
          </w:tcPr>
          <w:p w14:paraId="3245641B" w14:textId="723371E4" w:rsidR="005802B6" w:rsidRPr="00EF793E" w:rsidRDefault="007203AE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503.431,00</w:t>
            </w:r>
          </w:p>
        </w:tc>
        <w:tc>
          <w:tcPr>
            <w:tcW w:w="1618" w:type="dxa"/>
          </w:tcPr>
          <w:p w14:paraId="2B1E31B5" w14:textId="7CE8AC44" w:rsidR="005802B6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366.458,20</w:t>
            </w:r>
          </w:p>
        </w:tc>
        <w:tc>
          <w:tcPr>
            <w:tcW w:w="1125" w:type="dxa"/>
          </w:tcPr>
          <w:p w14:paraId="4065B4AF" w14:textId="146D25BC" w:rsidR="005802B6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72,79</w:t>
            </w:r>
          </w:p>
        </w:tc>
      </w:tr>
      <w:tr w:rsidR="001425E2" w:rsidRPr="00EF793E" w14:paraId="0BB7882D" w14:textId="77777777" w:rsidTr="00505C52">
        <w:tc>
          <w:tcPr>
            <w:tcW w:w="4625" w:type="dxa"/>
          </w:tcPr>
          <w:p w14:paraId="3906D65A" w14:textId="505F3743" w:rsidR="0085727A" w:rsidRPr="00EF793E" w:rsidRDefault="00E346C6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OSNOVNOŠKOLSKO OBRAZOVANJE – OPERATIVNI PLAN</w:t>
            </w:r>
          </w:p>
        </w:tc>
        <w:tc>
          <w:tcPr>
            <w:tcW w:w="1699" w:type="dxa"/>
          </w:tcPr>
          <w:p w14:paraId="5659FC1B" w14:textId="19C51C6A" w:rsidR="0085727A" w:rsidRPr="00EF793E" w:rsidRDefault="00E346C6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3.983,00</w:t>
            </w:r>
          </w:p>
        </w:tc>
        <w:tc>
          <w:tcPr>
            <w:tcW w:w="1618" w:type="dxa"/>
          </w:tcPr>
          <w:p w14:paraId="5529879A" w14:textId="113741AE" w:rsidR="0085727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1.375,00</w:t>
            </w:r>
          </w:p>
        </w:tc>
        <w:tc>
          <w:tcPr>
            <w:tcW w:w="1125" w:type="dxa"/>
          </w:tcPr>
          <w:p w14:paraId="3543F916" w14:textId="01BFF0EE" w:rsidR="0085727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34,52</w:t>
            </w:r>
          </w:p>
        </w:tc>
      </w:tr>
      <w:tr w:rsidR="001425E2" w:rsidRPr="00EF793E" w14:paraId="7259BB7E" w14:textId="77777777" w:rsidTr="00505C52">
        <w:tc>
          <w:tcPr>
            <w:tcW w:w="4625" w:type="dxa"/>
          </w:tcPr>
          <w:p w14:paraId="1AEFEF41" w14:textId="28BEBCEE" w:rsidR="0085727A" w:rsidRPr="00EF793E" w:rsidRDefault="00E346C6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PODIZANJE KVALITETE I STANDARDA KROZ AKTIVNOST OSNOVNIH ŠKOLA</w:t>
            </w:r>
          </w:p>
        </w:tc>
        <w:tc>
          <w:tcPr>
            <w:tcW w:w="1699" w:type="dxa"/>
          </w:tcPr>
          <w:p w14:paraId="01BA6057" w14:textId="3143209F" w:rsidR="0085727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33.749,00</w:t>
            </w:r>
          </w:p>
        </w:tc>
        <w:tc>
          <w:tcPr>
            <w:tcW w:w="1618" w:type="dxa"/>
          </w:tcPr>
          <w:p w14:paraId="660EA745" w14:textId="0CC96B33" w:rsidR="0085727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21.998,11</w:t>
            </w:r>
          </w:p>
        </w:tc>
        <w:tc>
          <w:tcPr>
            <w:tcW w:w="1125" w:type="dxa"/>
          </w:tcPr>
          <w:p w14:paraId="5B33EEB7" w14:textId="76602CE0" w:rsidR="0085727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65,18</w:t>
            </w:r>
          </w:p>
        </w:tc>
      </w:tr>
      <w:tr w:rsidR="00FA3FAA" w:rsidRPr="00EF793E" w14:paraId="6C61CA4B" w14:textId="77777777" w:rsidTr="00505C52">
        <w:tc>
          <w:tcPr>
            <w:tcW w:w="4625" w:type="dxa"/>
          </w:tcPr>
          <w:p w14:paraId="05AD9387" w14:textId="3D6FC77F" w:rsidR="00FA3FAA" w:rsidRPr="00EF793E" w:rsidRDefault="00FA3FAA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NACIONALNI PROJEKT PREHRANA UČENIKA</w:t>
            </w:r>
          </w:p>
        </w:tc>
        <w:tc>
          <w:tcPr>
            <w:tcW w:w="1699" w:type="dxa"/>
          </w:tcPr>
          <w:p w14:paraId="6F0147E1" w14:textId="20C381BD" w:rsidR="00FA3FA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  <w:r w:rsidR="00505C52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18" w:type="dxa"/>
          </w:tcPr>
          <w:p w14:paraId="1F2F7887" w14:textId="230C63B8" w:rsidR="00FA3FAA" w:rsidRPr="00EF793E" w:rsidRDefault="005D1105" w:rsidP="005D11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505C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535,38</w:t>
            </w:r>
          </w:p>
        </w:tc>
        <w:tc>
          <w:tcPr>
            <w:tcW w:w="1125" w:type="dxa"/>
          </w:tcPr>
          <w:p w14:paraId="7B2F9B32" w14:textId="317DEDCC" w:rsidR="00FA3FA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52,43</w:t>
            </w:r>
          </w:p>
        </w:tc>
      </w:tr>
      <w:tr w:rsidR="00FA3FAA" w:rsidRPr="00EF793E" w14:paraId="0067BFAB" w14:textId="77777777" w:rsidTr="00505C52">
        <w:tc>
          <w:tcPr>
            <w:tcW w:w="4625" w:type="dxa"/>
          </w:tcPr>
          <w:p w14:paraId="5B4F0952" w14:textId="33DEEE24" w:rsidR="00FA3FAA" w:rsidRPr="00EF793E" w:rsidRDefault="00FA3FAA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PRIJEVOZ UČENIKA S TEŠKOĆAMA – OŠ</w:t>
            </w:r>
          </w:p>
        </w:tc>
        <w:tc>
          <w:tcPr>
            <w:tcW w:w="1699" w:type="dxa"/>
          </w:tcPr>
          <w:p w14:paraId="02256662" w14:textId="553E6D9B" w:rsidR="00FA3FA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05C52">
              <w:rPr>
                <w:rFonts w:ascii="Arial" w:hAnsi="Arial" w:cs="Arial"/>
                <w:sz w:val="24"/>
                <w:szCs w:val="24"/>
              </w:rPr>
              <w:t>.700,00</w:t>
            </w:r>
          </w:p>
        </w:tc>
        <w:tc>
          <w:tcPr>
            <w:tcW w:w="1618" w:type="dxa"/>
          </w:tcPr>
          <w:p w14:paraId="6FD57E0A" w14:textId="746E98E8" w:rsidR="00FA3FA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1.532,76</w:t>
            </w:r>
          </w:p>
        </w:tc>
        <w:tc>
          <w:tcPr>
            <w:tcW w:w="1125" w:type="dxa"/>
          </w:tcPr>
          <w:p w14:paraId="6C512790" w14:textId="5F4062EB" w:rsidR="00FA3FAA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56,77</w:t>
            </w:r>
          </w:p>
        </w:tc>
      </w:tr>
      <w:tr w:rsidR="00A224A4" w:rsidRPr="00EF793E" w14:paraId="141B1E20" w14:textId="77777777" w:rsidTr="00505C52">
        <w:tc>
          <w:tcPr>
            <w:tcW w:w="4625" w:type="dxa"/>
          </w:tcPr>
          <w:p w14:paraId="2E3BF221" w14:textId="70D5A8D1" w:rsidR="00A224A4" w:rsidRPr="00EF793E" w:rsidRDefault="00FA3FAA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>TEKUĆI PROJEKT</w:t>
            </w:r>
            <w:r w:rsidRPr="00EF793E">
              <w:rPr>
                <w:rFonts w:ascii="Arial" w:hAnsi="Arial" w:cs="Arial"/>
                <w:sz w:val="24"/>
                <w:szCs w:val="24"/>
              </w:rPr>
              <w:t xml:space="preserve"> / OPSKRBA ŠKOLSKIH USTANOVA BESPLATNIM ZALIHAMA MENSTRUALNIH HIGIJENSKIH POTREPŠTINA</w:t>
            </w:r>
          </w:p>
        </w:tc>
        <w:tc>
          <w:tcPr>
            <w:tcW w:w="1699" w:type="dxa"/>
          </w:tcPr>
          <w:p w14:paraId="4CC49A41" w14:textId="63FB60CC" w:rsidR="00A224A4" w:rsidRPr="00EF793E" w:rsidRDefault="00FA3FAA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1.294,00</w:t>
            </w:r>
          </w:p>
        </w:tc>
        <w:tc>
          <w:tcPr>
            <w:tcW w:w="1618" w:type="dxa"/>
          </w:tcPr>
          <w:p w14:paraId="2D5E8748" w14:textId="0E6E5D78" w:rsidR="00A224A4" w:rsidRPr="00EF793E" w:rsidRDefault="008A0D6D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5D1105">
              <w:rPr>
                <w:rFonts w:ascii="Arial" w:hAnsi="Arial" w:cs="Arial"/>
                <w:sz w:val="24"/>
                <w:szCs w:val="24"/>
              </w:rPr>
              <w:t>60</w:t>
            </w:r>
            <w:r w:rsidR="00505C5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25" w:type="dxa"/>
          </w:tcPr>
          <w:p w14:paraId="1E789C91" w14:textId="1A4072F4" w:rsidR="00A224A4" w:rsidRPr="00EF793E" w:rsidRDefault="008A0D6D" w:rsidP="005D11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D1105">
              <w:rPr>
                <w:rFonts w:ascii="Arial" w:hAnsi="Arial" w:cs="Arial"/>
                <w:sz w:val="24"/>
                <w:szCs w:val="24"/>
              </w:rPr>
              <w:t>7,37</w:t>
            </w:r>
          </w:p>
        </w:tc>
      </w:tr>
      <w:tr w:rsidR="008A0D6D" w:rsidRPr="00EF793E" w14:paraId="34BFC3AF" w14:textId="77777777" w:rsidTr="00505C52">
        <w:tc>
          <w:tcPr>
            <w:tcW w:w="4625" w:type="dxa"/>
          </w:tcPr>
          <w:p w14:paraId="52B0A19A" w14:textId="786F2E97" w:rsidR="008A0D6D" w:rsidRPr="00EF793E" w:rsidRDefault="008A0D6D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>TEKUĆI PROJEKT</w:t>
            </w:r>
            <w:r w:rsidRPr="00EF793E">
              <w:rPr>
                <w:rFonts w:ascii="Arial" w:hAnsi="Arial" w:cs="Arial"/>
                <w:sz w:val="24"/>
                <w:szCs w:val="24"/>
              </w:rPr>
              <w:t xml:space="preserve"> / Z</w:t>
            </w:r>
            <w:r>
              <w:rPr>
                <w:rFonts w:ascii="Arial" w:hAnsi="Arial" w:cs="Arial"/>
                <w:sz w:val="24"/>
                <w:szCs w:val="24"/>
              </w:rPr>
              <w:t xml:space="preserve">AJEDNO DO ZNANJA UZ VIŠE ELANA </w:t>
            </w:r>
            <w:r w:rsidRPr="00EF793E">
              <w:rPr>
                <w:rFonts w:ascii="Arial" w:hAnsi="Arial" w:cs="Arial"/>
                <w:sz w:val="24"/>
                <w:szCs w:val="24"/>
              </w:rPr>
              <w:t>V</w:t>
            </w:r>
            <w:r w:rsidR="00505C52">
              <w:rPr>
                <w:rFonts w:ascii="Arial" w:hAnsi="Arial" w:cs="Arial"/>
                <w:sz w:val="24"/>
                <w:szCs w:val="24"/>
              </w:rPr>
              <w:t>I</w:t>
            </w:r>
            <w:r w:rsidRPr="00EF793E">
              <w:rPr>
                <w:rFonts w:ascii="Arial" w:hAnsi="Arial" w:cs="Arial"/>
                <w:sz w:val="24"/>
                <w:szCs w:val="24"/>
              </w:rPr>
              <w:t xml:space="preserve"> – OŠ</w:t>
            </w:r>
          </w:p>
        </w:tc>
        <w:tc>
          <w:tcPr>
            <w:tcW w:w="1699" w:type="dxa"/>
          </w:tcPr>
          <w:p w14:paraId="5D347473" w14:textId="469C3312" w:rsidR="008A0D6D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104.710,00</w:t>
            </w:r>
          </w:p>
        </w:tc>
        <w:tc>
          <w:tcPr>
            <w:tcW w:w="1618" w:type="dxa"/>
          </w:tcPr>
          <w:p w14:paraId="40644202" w14:textId="682B085E" w:rsidR="008A0D6D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60.639,49</w:t>
            </w:r>
          </w:p>
        </w:tc>
        <w:tc>
          <w:tcPr>
            <w:tcW w:w="1125" w:type="dxa"/>
          </w:tcPr>
          <w:p w14:paraId="61452596" w14:textId="6784FBFA" w:rsidR="008A0D6D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57,91</w:t>
            </w:r>
          </w:p>
        </w:tc>
      </w:tr>
      <w:tr w:rsidR="00505C52" w:rsidRPr="00EF793E" w14:paraId="6C31CB80" w14:textId="77777777" w:rsidTr="00505C52">
        <w:tc>
          <w:tcPr>
            <w:tcW w:w="4625" w:type="dxa"/>
          </w:tcPr>
          <w:p w14:paraId="3630DB7D" w14:textId="4B1B2D39" w:rsidR="00505C52" w:rsidRPr="00EF793E" w:rsidRDefault="00505C52" w:rsidP="002819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93E">
              <w:rPr>
                <w:rFonts w:ascii="Arial" w:hAnsi="Arial" w:cs="Arial"/>
                <w:b/>
                <w:sz w:val="24"/>
                <w:szCs w:val="24"/>
              </w:rPr>
              <w:t>TEKUĆI PROJEKT</w:t>
            </w:r>
            <w:r w:rsidRPr="00EF793E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ŠKOLA ZA ŽIVOT KURIKULARNA REFORMA/OŠ</w:t>
            </w:r>
          </w:p>
        </w:tc>
        <w:tc>
          <w:tcPr>
            <w:tcW w:w="1699" w:type="dxa"/>
          </w:tcPr>
          <w:p w14:paraId="0B610AA1" w14:textId="3FC5139B" w:rsidR="00505C52" w:rsidRDefault="00505C52" w:rsidP="005D11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11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18" w:type="dxa"/>
          </w:tcPr>
          <w:p w14:paraId="24E16927" w14:textId="0A78762A" w:rsidR="00505C52" w:rsidRDefault="00505C52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14:paraId="768BCC84" w14:textId="50F7E0DA" w:rsidR="00505C52" w:rsidRDefault="00505C52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3DAB" w:rsidRPr="00EF793E" w14:paraId="68E27D15" w14:textId="77777777" w:rsidTr="00505C52">
        <w:tc>
          <w:tcPr>
            <w:tcW w:w="4625" w:type="dxa"/>
          </w:tcPr>
          <w:p w14:paraId="6F5F74FC" w14:textId="6756D2E1" w:rsidR="00D73DAB" w:rsidRPr="00EF793E" w:rsidRDefault="00F11BFA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93E">
              <w:rPr>
                <w:rFonts w:ascii="Arial" w:hAnsi="Arial" w:cs="Arial"/>
                <w:sz w:val="24"/>
                <w:szCs w:val="24"/>
              </w:rPr>
              <w:t>REDOVNA DJELATNOST ŠKOLA (EVIDENCIJSKI PRIHODI</w:t>
            </w:r>
            <w:r w:rsidR="00D73DAB" w:rsidRPr="00EF793E">
              <w:rPr>
                <w:rFonts w:ascii="Arial" w:hAnsi="Arial" w:cs="Arial"/>
                <w:sz w:val="24"/>
                <w:szCs w:val="24"/>
              </w:rPr>
              <w:t>)</w:t>
            </w:r>
            <w:r w:rsidRPr="00EF793E">
              <w:rPr>
                <w:rFonts w:ascii="Arial" w:hAnsi="Arial" w:cs="Arial"/>
                <w:sz w:val="24"/>
                <w:szCs w:val="24"/>
              </w:rPr>
              <w:t xml:space="preserve"> - OŠ</w:t>
            </w:r>
          </w:p>
        </w:tc>
        <w:tc>
          <w:tcPr>
            <w:tcW w:w="1699" w:type="dxa"/>
          </w:tcPr>
          <w:p w14:paraId="3C17CCB3" w14:textId="628A0416" w:rsidR="00D73DAB" w:rsidRPr="00EF793E" w:rsidRDefault="00505C52" w:rsidP="005D11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5D1105">
              <w:rPr>
                <w:rFonts w:ascii="Arial" w:hAnsi="Arial" w:cs="Arial"/>
                <w:sz w:val="24"/>
                <w:szCs w:val="24"/>
              </w:rPr>
              <w:t>245.350,00</w:t>
            </w:r>
          </w:p>
        </w:tc>
        <w:tc>
          <w:tcPr>
            <w:tcW w:w="1618" w:type="dxa"/>
          </w:tcPr>
          <w:p w14:paraId="7814D141" w14:textId="31763006" w:rsidR="00D73DAB" w:rsidRPr="00EF793E" w:rsidRDefault="005D1105" w:rsidP="008A0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1.781.601,73</w:t>
            </w:r>
          </w:p>
        </w:tc>
        <w:tc>
          <w:tcPr>
            <w:tcW w:w="1125" w:type="dxa"/>
          </w:tcPr>
          <w:p w14:paraId="51ACAFD6" w14:textId="610728B9" w:rsidR="00D73DAB" w:rsidRPr="00EF793E" w:rsidRDefault="005D1105" w:rsidP="00281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54,90</w:t>
            </w:r>
          </w:p>
        </w:tc>
      </w:tr>
    </w:tbl>
    <w:p w14:paraId="7E689C81" w14:textId="77777777" w:rsidR="00E716DA" w:rsidRPr="00AA16EB" w:rsidRDefault="00E716DA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67FF7F" w14:textId="009664D9" w:rsidR="00E17B9C" w:rsidRDefault="00615F72" w:rsidP="00381C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 xml:space="preserve">6.1. </w:t>
      </w:r>
      <w:r w:rsidR="00812EDE" w:rsidRPr="00AA16EB">
        <w:rPr>
          <w:rFonts w:ascii="Arial" w:hAnsi="Arial" w:cs="Arial"/>
          <w:b/>
          <w:sz w:val="24"/>
          <w:szCs w:val="24"/>
          <w:u w:val="single"/>
        </w:rPr>
        <w:t>A</w:t>
      </w:r>
      <w:r w:rsidR="00D87A2E" w:rsidRPr="00AA16EB">
        <w:rPr>
          <w:rFonts w:ascii="Arial" w:hAnsi="Arial" w:cs="Arial"/>
          <w:b/>
          <w:sz w:val="24"/>
          <w:szCs w:val="24"/>
          <w:u w:val="single"/>
        </w:rPr>
        <w:t xml:space="preserve">ktivnost Osnovnoškolsko obrazovanje </w:t>
      </w:r>
      <w:r w:rsidR="00C71212" w:rsidRPr="00AA16EB">
        <w:rPr>
          <w:rFonts w:ascii="Arial" w:hAnsi="Arial" w:cs="Arial"/>
          <w:b/>
          <w:sz w:val="24"/>
          <w:szCs w:val="24"/>
          <w:u w:val="single"/>
        </w:rPr>
        <w:t>–</w:t>
      </w:r>
      <w:r w:rsidR="00D87A2E" w:rsidRPr="00AA16EB">
        <w:rPr>
          <w:rFonts w:ascii="Arial" w:hAnsi="Arial" w:cs="Arial"/>
          <w:b/>
          <w:sz w:val="24"/>
          <w:szCs w:val="24"/>
          <w:u w:val="single"/>
        </w:rPr>
        <w:t xml:space="preserve"> standard</w:t>
      </w:r>
      <w:r w:rsidR="00AA16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B9C">
        <w:rPr>
          <w:rFonts w:ascii="Arial" w:hAnsi="Arial" w:cs="Arial"/>
          <w:b/>
          <w:sz w:val="24"/>
          <w:szCs w:val="24"/>
        </w:rPr>
        <w:t>–</w:t>
      </w:r>
      <w:r w:rsidR="00AA16EB">
        <w:rPr>
          <w:rFonts w:ascii="Arial" w:hAnsi="Arial" w:cs="Arial"/>
          <w:b/>
          <w:sz w:val="24"/>
          <w:szCs w:val="24"/>
        </w:rPr>
        <w:t xml:space="preserve"> </w:t>
      </w:r>
    </w:p>
    <w:p w14:paraId="23C8AB0D" w14:textId="6702B43B" w:rsidR="00D87A2E" w:rsidRPr="00AA16EB" w:rsidRDefault="00E17B9C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71212" w:rsidRPr="00AA16EB">
        <w:rPr>
          <w:rFonts w:ascii="Arial" w:hAnsi="Arial" w:cs="Arial"/>
          <w:sz w:val="24"/>
          <w:szCs w:val="24"/>
        </w:rPr>
        <w:t xml:space="preserve">ashodi su planirani u iznosu od </w:t>
      </w:r>
      <w:r w:rsidR="00505C52">
        <w:rPr>
          <w:rFonts w:ascii="Arial" w:hAnsi="Arial" w:cs="Arial"/>
          <w:sz w:val="24"/>
          <w:szCs w:val="24"/>
        </w:rPr>
        <w:t xml:space="preserve">503.431,00 </w:t>
      </w:r>
      <w:r w:rsidR="00A224A4" w:rsidRPr="00AA16EB">
        <w:rPr>
          <w:rFonts w:ascii="Arial" w:hAnsi="Arial" w:cs="Arial"/>
          <w:sz w:val="24"/>
          <w:szCs w:val="24"/>
        </w:rPr>
        <w:t>eura</w:t>
      </w:r>
      <w:r w:rsidR="00C71212" w:rsidRPr="00AA16EB">
        <w:rPr>
          <w:rFonts w:ascii="Arial" w:hAnsi="Arial" w:cs="Arial"/>
          <w:sz w:val="24"/>
          <w:szCs w:val="24"/>
        </w:rPr>
        <w:t>, a os</w:t>
      </w:r>
      <w:r w:rsidR="00546D5F" w:rsidRPr="00AA16EB">
        <w:rPr>
          <w:rFonts w:ascii="Arial" w:hAnsi="Arial" w:cs="Arial"/>
          <w:sz w:val="24"/>
          <w:szCs w:val="24"/>
        </w:rPr>
        <w:t xml:space="preserve">tvareni su u iznosu od </w:t>
      </w:r>
      <w:r w:rsidR="005D1105">
        <w:rPr>
          <w:rFonts w:ascii="Arial" w:hAnsi="Arial" w:cs="Arial"/>
          <w:sz w:val="24"/>
          <w:szCs w:val="24"/>
        </w:rPr>
        <w:t>366.458,20</w:t>
      </w:r>
      <w:r w:rsidR="00505C52">
        <w:rPr>
          <w:rFonts w:ascii="Arial" w:hAnsi="Arial" w:cs="Arial"/>
          <w:sz w:val="24"/>
          <w:szCs w:val="24"/>
        </w:rPr>
        <w:t xml:space="preserve"> </w:t>
      </w:r>
      <w:r w:rsidR="00A224A4" w:rsidRPr="00AA16EB">
        <w:rPr>
          <w:rFonts w:ascii="Arial" w:hAnsi="Arial" w:cs="Arial"/>
          <w:sz w:val="24"/>
          <w:szCs w:val="24"/>
        </w:rPr>
        <w:t>eura</w:t>
      </w:r>
      <w:r w:rsidR="00C71212" w:rsidRPr="00AA16EB">
        <w:rPr>
          <w:rFonts w:ascii="Arial" w:hAnsi="Arial" w:cs="Arial"/>
          <w:sz w:val="24"/>
          <w:szCs w:val="24"/>
        </w:rPr>
        <w:t xml:space="preserve"> tj. </w:t>
      </w:r>
      <w:r w:rsidR="005D1105">
        <w:rPr>
          <w:rFonts w:ascii="Arial" w:hAnsi="Arial" w:cs="Arial"/>
          <w:sz w:val="24"/>
          <w:szCs w:val="24"/>
        </w:rPr>
        <w:t>72,79</w:t>
      </w:r>
      <w:r w:rsidR="00C71212" w:rsidRPr="00AA16EB">
        <w:rPr>
          <w:rFonts w:ascii="Arial" w:hAnsi="Arial" w:cs="Arial"/>
          <w:sz w:val="24"/>
          <w:szCs w:val="24"/>
        </w:rPr>
        <w:t>% od godišnjeg plana.</w:t>
      </w:r>
      <w:r w:rsidR="00175DB9" w:rsidRPr="00AA16EB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Programi se odnose za nabavu opreme i pokrivanje materijalnih i financijskih rashoda u osnovnim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školama koji ima za cilj osigurati potrebne resurse i sredstva za škole kako bi se poboljšali uvjeti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obrazovanja i omogućio kontinuirani rad škola.</w:t>
      </w:r>
      <w:r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Cilj ovog programa je poboljšati kvalitetu obrazovanja pružanjem potrebne opreme i resursa, što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 xml:space="preserve">omogućava bolje </w:t>
      </w:r>
      <w:r w:rsidR="00381CCA" w:rsidRPr="00381CCA">
        <w:rPr>
          <w:rFonts w:ascii="Arial" w:hAnsi="Arial" w:cs="Arial"/>
          <w:sz w:val="24"/>
          <w:szCs w:val="24"/>
        </w:rPr>
        <w:lastRenderedPageBreak/>
        <w:t>uvjete za učenje i podučavanje. Sredstva za ovaj program dolaze iz proračuna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na razini županije, a važno je osigurati transparentnost i odgovornost u korištenju sredstava.</w:t>
      </w:r>
    </w:p>
    <w:p w14:paraId="70F04DC9" w14:textId="14493F47" w:rsidR="00E17B9C" w:rsidRDefault="00B81610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>Cilj koji je ostvaren provedbom ove aktivnosti</w:t>
      </w:r>
      <w:r w:rsidRPr="00AA16EB">
        <w:rPr>
          <w:rFonts w:ascii="Arial" w:hAnsi="Arial" w:cs="Arial"/>
          <w:sz w:val="24"/>
          <w:szCs w:val="24"/>
        </w:rPr>
        <w:t xml:space="preserve">: </w:t>
      </w:r>
      <w:r w:rsidR="004D690F" w:rsidRPr="00AA16EB">
        <w:rPr>
          <w:rFonts w:ascii="Arial" w:hAnsi="Arial" w:cs="Arial"/>
          <w:sz w:val="24"/>
          <w:szCs w:val="24"/>
        </w:rPr>
        <w:t>financiranje minimalnog standarda za</w:t>
      </w:r>
      <w:r w:rsidRPr="00AA16EB">
        <w:rPr>
          <w:rFonts w:ascii="Arial" w:hAnsi="Arial" w:cs="Arial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59EDF911" w14:textId="77777777" w:rsidR="00AA16EB" w:rsidRPr="00AA16EB" w:rsidRDefault="00AA16EB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EA24F6" w14:textId="0EC7FA3C" w:rsidR="00E17B9C" w:rsidRDefault="00615F72" w:rsidP="00AA16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 xml:space="preserve">6.2. </w:t>
      </w:r>
      <w:r w:rsidR="00175DB9" w:rsidRPr="00AA16EB">
        <w:rPr>
          <w:rFonts w:ascii="Arial" w:hAnsi="Arial" w:cs="Arial"/>
          <w:b/>
          <w:sz w:val="24"/>
          <w:szCs w:val="24"/>
          <w:u w:val="single"/>
        </w:rPr>
        <w:t xml:space="preserve">Aktivnost </w:t>
      </w:r>
      <w:r w:rsidR="007577C4" w:rsidRPr="00AA16EB">
        <w:rPr>
          <w:rFonts w:ascii="Arial" w:hAnsi="Arial" w:cs="Arial"/>
          <w:b/>
          <w:sz w:val="24"/>
          <w:szCs w:val="24"/>
          <w:u w:val="single"/>
        </w:rPr>
        <w:t xml:space="preserve">Osnovnoškolsko obrazovanje - </w:t>
      </w:r>
      <w:r w:rsidR="00175DB9" w:rsidRPr="00AA16EB">
        <w:rPr>
          <w:rFonts w:ascii="Arial" w:hAnsi="Arial" w:cs="Arial"/>
          <w:b/>
          <w:sz w:val="24"/>
          <w:szCs w:val="24"/>
          <w:u w:val="single"/>
        </w:rPr>
        <w:t>Operativni plan</w:t>
      </w:r>
      <w:r w:rsidR="00AA16EB" w:rsidRPr="00AA16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B9C">
        <w:rPr>
          <w:rFonts w:ascii="Arial" w:hAnsi="Arial" w:cs="Arial"/>
          <w:b/>
          <w:sz w:val="24"/>
          <w:szCs w:val="24"/>
          <w:u w:val="single"/>
        </w:rPr>
        <w:t>–</w:t>
      </w:r>
      <w:r w:rsidR="00AA16EB" w:rsidRPr="00AA16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2BAC5F6" w14:textId="10B9AB1E" w:rsidR="00175DB9" w:rsidRPr="00AA16EB" w:rsidRDefault="00E17B9C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75DB9" w:rsidRPr="00AA16EB">
        <w:rPr>
          <w:rFonts w:ascii="Arial" w:hAnsi="Arial" w:cs="Arial"/>
          <w:sz w:val="24"/>
          <w:szCs w:val="24"/>
        </w:rPr>
        <w:t xml:space="preserve">ashodi su planirani u iznosu od </w:t>
      </w:r>
      <w:r w:rsidR="00203B38" w:rsidRPr="00AA16EB">
        <w:rPr>
          <w:rFonts w:ascii="Arial" w:hAnsi="Arial" w:cs="Arial"/>
          <w:sz w:val="24"/>
          <w:szCs w:val="24"/>
        </w:rPr>
        <w:t>3.983,00</w:t>
      </w:r>
      <w:r w:rsidR="00615F72" w:rsidRPr="00AA16EB">
        <w:rPr>
          <w:rFonts w:ascii="Arial" w:hAnsi="Arial" w:cs="Arial"/>
          <w:sz w:val="24"/>
          <w:szCs w:val="24"/>
        </w:rPr>
        <w:t xml:space="preserve"> </w:t>
      </w:r>
      <w:r w:rsidR="00526E56" w:rsidRPr="00AA16EB">
        <w:rPr>
          <w:rFonts w:ascii="Arial" w:hAnsi="Arial" w:cs="Arial"/>
          <w:sz w:val="24"/>
          <w:szCs w:val="24"/>
        </w:rPr>
        <w:t>eura</w:t>
      </w:r>
      <w:r w:rsidR="00175DB9" w:rsidRPr="00AA16EB">
        <w:rPr>
          <w:rFonts w:ascii="Arial" w:hAnsi="Arial" w:cs="Arial"/>
          <w:sz w:val="24"/>
          <w:szCs w:val="24"/>
        </w:rPr>
        <w:t xml:space="preserve">, a realizirani su u </w:t>
      </w:r>
      <w:r w:rsidR="005D1105">
        <w:rPr>
          <w:rFonts w:ascii="Arial" w:hAnsi="Arial" w:cs="Arial"/>
          <w:sz w:val="24"/>
          <w:szCs w:val="24"/>
        </w:rPr>
        <w:t>34,52</w:t>
      </w:r>
      <w:r w:rsidR="00175DB9" w:rsidRPr="00AA16EB">
        <w:rPr>
          <w:rFonts w:ascii="Arial" w:hAnsi="Arial" w:cs="Arial"/>
          <w:sz w:val="24"/>
          <w:szCs w:val="24"/>
        </w:rPr>
        <w:t xml:space="preserve">% iznosu godišnjeg plana. </w:t>
      </w:r>
    </w:p>
    <w:p w14:paraId="5104BE94" w14:textId="6BB9E739" w:rsidR="0093540B" w:rsidRDefault="00B81610" w:rsidP="009354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 xml:space="preserve">Cilj koji je ostvaren provedbom ove aktivnosti: </w:t>
      </w:r>
      <w:r w:rsidRPr="00AA16EB">
        <w:rPr>
          <w:rFonts w:ascii="Arial" w:hAnsi="Arial" w:cs="Arial"/>
          <w:sz w:val="24"/>
          <w:szCs w:val="24"/>
        </w:rPr>
        <w:t xml:space="preserve"> tekuće održavanje školske zgrade</w:t>
      </w:r>
      <w:r w:rsidR="00526E56" w:rsidRPr="00AA16EB">
        <w:rPr>
          <w:rFonts w:ascii="Arial" w:hAnsi="Arial" w:cs="Arial"/>
          <w:sz w:val="24"/>
          <w:szCs w:val="24"/>
        </w:rPr>
        <w:t xml:space="preserve"> i opreme</w:t>
      </w:r>
      <w:r w:rsidRPr="00AA16EB">
        <w:rPr>
          <w:rFonts w:ascii="Arial" w:hAnsi="Arial" w:cs="Arial"/>
          <w:sz w:val="24"/>
          <w:szCs w:val="24"/>
        </w:rPr>
        <w:t>.</w:t>
      </w:r>
    </w:p>
    <w:p w14:paraId="55E85A2F" w14:textId="77777777" w:rsidR="00832A8C" w:rsidRDefault="00832A8C" w:rsidP="009354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101E50" w14:textId="43025A98" w:rsidR="0093540B" w:rsidRDefault="0093540B" w:rsidP="009354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 xml:space="preserve">Navedene dvije aktivnosti odnose se na financiranje materijalnih rashoda koji su se financirali iz izvora Županijskih prihoda za decentralizirane funkcije. </w:t>
      </w:r>
      <w:r w:rsidRPr="00C1077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planu, kao i</w:t>
      </w:r>
      <w:r w:rsidRPr="00C10770">
        <w:rPr>
          <w:rFonts w:ascii="Arial" w:hAnsi="Arial" w:cs="Arial"/>
          <w:sz w:val="24"/>
          <w:szCs w:val="24"/>
        </w:rPr>
        <w:t xml:space="preserve"> izmjena</w:t>
      </w:r>
      <w:r>
        <w:rPr>
          <w:rFonts w:ascii="Arial" w:hAnsi="Arial" w:cs="Arial"/>
          <w:sz w:val="24"/>
          <w:szCs w:val="24"/>
        </w:rPr>
        <w:t>ma i dopuna proračuna u prvoj polovici</w:t>
      </w:r>
      <w:r w:rsidRPr="00C1077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C107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g. </w:t>
      </w:r>
      <w:r w:rsidRPr="00C10770">
        <w:rPr>
          <w:rFonts w:ascii="Arial" w:hAnsi="Arial" w:cs="Arial"/>
          <w:sz w:val="24"/>
          <w:szCs w:val="24"/>
        </w:rPr>
        <w:t xml:space="preserve">decentralizirana sredstva (1201) se nisu uopće mijenjala zbog nedovoljnih financijskih sredstava dodijeljenih od osnivača, </w:t>
      </w:r>
      <w:r>
        <w:rPr>
          <w:rFonts w:ascii="Arial" w:hAnsi="Arial" w:cs="Arial"/>
          <w:sz w:val="24"/>
          <w:szCs w:val="24"/>
        </w:rPr>
        <w:t>radile su se</w:t>
      </w:r>
      <w:r w:rsidRPr="00C10770">
        <w:rPr>
          <w:rFonts w:ascii="Arial" w:hAnsi="Arial" w:cs="Arial"/>
          <w:sz w:val="24"/>
          <w:szCs w:val="24"/>
        </w:rPr>
        <w:t xml:space="preserve"> manj</w:t>
      </w:r>
      <w:r>
        <w:rPr>
          <w:rFonts w:ascii="Arial" w:hAnsi="Arial" w:cs="Arial"/>
          <w:sz w:val="24"/>
          <w:szCs w:val="24"/>
        </w:rPr>
        <w:t>e</w:t>
      </w:r>
      <w:r w:rsidRPr="00C10770">
        <w:rPr>
          <w:rFonts w:ascii="Arial" w:hAnsi="Arial" w:cs="Arial"/>
          <w:sz w:val="24"/>
          <w:szCs w:val="24"/>
        </w:rPr>
        <w:t xml:space="preserve"> preraspodjel</w:t>
      </w:r>
      <w:r>
        <w:rPr>
          <w:rFonts w:ascii="Arial" w:hAnsi="Arial" w:cs="Arial"/>
          <w:sz w:val="24"/>
          <w:szCs w:val="24"/>
        </w:rPr>
        <w:t>e</w:t>
      </w:r>
      <w:r w:rsidRPr="00C10770">
        <w:rPr>
          <w:rFonts w:ascii="Arial" w:hAnsi="Arial" w:cs="Arial"/>
          <w:sz w:val="24"/>
          <w:szCs w:val="24"/>
        </w:rPr>
        <w:t xml:space="preserve"> vlastitih sredstava i sredstava pomoći iz proračuna. Povećanjem sveukupnih troškova nismo u mogućnosti uskladiti stvarne troškove s očekivanim izvršenjem do kraja proračunske godine. Kako se prema novim Aneksima ugovora s dobavljačima za prijevoz</w:t>
      </w:r>
      <w:r>
        <w:rPr>
          <w:rFonts w:ascii="Arial" w:hAnsi="Arial" w:cs="Arial"/>
          <w:sz w:val="24"/>
          <w:szCs w:val="24"/>
        </w:rPr>
        <w:t xml:space="preserve"> učenika</w:t>
      </w:r>
      <w:r w:rsidRPr="00C10770">
        <w:rPr>
          <w:rFonts w:ascii="Arial" w:hAnsi="Arial" w:cs="Arial"/>
          <w:sz w:val="24"/>
          <w:szCs w:val="24"/>
        </w:rPr>
        <w:t xml:space="preserve"> od početka rujna 2023. isti značajno povećao, a uz postojeću inflaciju i općeniti porast svih troškova i cijena nismo u mogućnosti raspodijeliti sredstva na stavke jer smo u značajnom manjku novčanih sredstava za pokrivanje i osnovnih troškova škole do kraja proračunske godine. Sve navedeno dovodi do upitne mogućnosti osiguravanja učenicima zadovoljavajući</w:t>
      </w:r>
      <w:r>
        <w:rPr>
          <w:rFonts w:ascii="Arial" w:hAnsi="Arial" w:cs="Arial"/>
          <w:sz w:val="24"/>
          <w:szCs w:val="24"/>
        </w:rPr>
        <w:t xml:space="preserve">h uvjeta školovanja na koju upozoravamo zadnjih nekoliko godina. </w:t>
      </w:r>
      <w:r w:rsidRPr="00C10770">
        <w:rPr>
          <w:rFonts w:ascii="Arial" w:hAnsi="Arial" w:cs="Arial"/>
          <w:sz w:val="24"/>
          <w:szCs w:val="24"/>
        </w:rPr>
        <w:t>Novac</w:t>
      </w:r>
      <w:r>
        <w:rPr>
          <w:rFonts w:ascii="Arial" w:hAnsi="Arial" w:cs="Arial"/>
          <w:sz w:val="24"/>
          <w:szCs w:val="24"/>
        </w:rPr>
        <w:t xml:space="preserve"> iz izvora 1201 - </w:t>
      </w:r>
      <w:r w:rsidRPr="00450BD8">
        <w:rPr>
          <w:rFonts w:ascii="Arial" w:hAnsi="Arial" w:cs="Arial"/>
          <w:sz w:val="24"/>
          <w:szCs w:val="24"/>
        </w:rPr>
        <w:t>Sredstva za financiranje</w:t>
      </w:r>
      <w:r>
        <w:rPr>
          <w:rFonts w:ascii="Arial" w:hAnsi="Arial" w:cs="Arial"/>
          <w:sz w:val="24"/>
          <w:szCs w:val="24"/>
        </w:rPr>
        <w:t xml:space="preserve"> </w:t>
      </w:r>
      <w:r w:rsidRPr="00450BD8">
        <w:rPr>
          <w:rFonts w:ascii="Arial" w:hAnsi="Arial" w:cs="Arial"/>
          <w:sz w:val="24"/>
          <w:szCs w:val="24"/>
        </w:rPr>
        <w:t>decentraliziranih funkcija</w:t>
      </w:r>
      <w:r w:rsidRPr="00C10770">
        <w:rPr>
          <w:rFonts w:ascii="Arial" w:hAnsi="Arial" w:cs="Arial"/>
          <w:sz w:val="24"/>
          <w:szCs w:val="24"/>
        </w:rPr>
        <w:t xml:space="preserve"> je najvećim dijelom usmjeren prijevozu učenika, energentima te redovnim računima/komunalijama. Ostatak novca potrošen je na nužno tekuće poslovanje i održavanje zgrada. Podsjećamo još jednom da smo škola s 535 učenika, 140 zaposlena, </w:t>
      </w:r>
      <w:r w:rsidR="00832A8C">
        <w:rPr>
          <w:rFonts w:ascii="Arial" w:hAnsi="Arial" w:cs="Arial"/>
          <w:sz w:val="24"/>
          <w:szCs w:val="24"/>
        </w:rPr>
        <w:t>49</w:t>
      </w:r>
      <w:r w:rsidRPr="00C10770">
        <w:rPr>
          <w:rFonts w:ascii="Arial" w:hAnsi="Arial" w:cs="Arial"/>
          <w:sz w:val="24"/>
          <w:szCs w:val="24"/>
        </w:rPr>
        <w:t xml:space="preserve"> razreda, 6 zgrada, 4 dvo</w:t>
      </w:r>
      <w:r>
        <w:rPr>
          <w:rFonts w:ascii="Arial" w:hAnsi="Arial" w:cs="Arial"/>
          <w:sz w:val="24"/>
          <w:szCs w:val="24"/>
        </w:rPr>
        <w:t>rane - 10.000 kvadratnih m</w:t>
      </w:r>
      <w:r w:rsidR="006712C6">
        <w:rPr>
          <w:rFonts w:ascii="Arial" w:hAnsi="Arial" w:cs="Arial"/>
          <w:sz w:val="24"/>
          <w:szCs w:val="24"/>
        </w:rPr>
        <w:t xml:space="preserve">etara te </w:t>
      </w:r>
      <w:r>
        <w:rPr>
          <w:rFonts w:ascii="Arial" w:hAnsi="Arial" w:cs="Arial"/>
          <w:sz w:val="24"/>
          <w:szCs w:val="24"/>
        </w:rPr>
        <w:t xml:space="preserve">dodijeljeni limiti </w:t>
      </w:r>
      <w:r w:rsidR="006712C6">
        <w:rPr>
          <w:rFonts w:ascii="Arial" w:hAnsi="Arial" w:cs="Arial"/>
          <w:sz w:val="24"/>
          <w:szCs w:val="24"/>
        </w:rPr>
        <w:t>s</w:t>
      </w:r>
      <w:r w:rsidR="006712C6">
        <w:rPr>
          <w:rFonts w:ascii="Arial" w:hAnsi="Arial" w:cs="Arial"/>
          <w:color w:val="222222"/>
          <w:shd w:val="clear" w:color="auto" w:fill="FFFFFF"/>
        </w:rPr>
        <w:t xml:space="preserve">redstva za </w:t>
      </w:r>
      <w:r w:rsidR="006712C6" w:rsidRPr="006712C6">
        <w:rPr>
          <w:rFonts w:ascii="Arial" w:hAnsi="Arial" w:cs="Arial"/>
          <w:color w:val="222222"/>
          <w:sz w:val="24"/>
          <w:szCs w:val="24"/>
          <w:shd w:val="clear" w:color="auto" w:fill="FFFFFF"/>
        </w:rPr>
        <w:t>DEC funkcije jednostavno nisu dovoljni</w:t>
      </w:r>
      <w:r w:rsidR="006712C6">
        <w:rPr>
          <w:rFonts w:ascii="Arial" w:hAnsi="Arial" w:cs="Arial"/>
          <w:color w:val="222222"/>
          <w:shd w:val="clear" w:color="auto" w:fill="FFFFFF"/>
        </w:rPr>
        <w:t>. </w:t>
      </w:r>
    </w:p>
    <w:p w14:paraId="5A81355E" w14:textId="77777777" w:rsidR="0093540B" w:rsidRDefault="0093540B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DABDDD" w14:textId="77777777" w:rsidR="00AA16EB" w:rsidRPr="00AA16EB" w:rsidRDefault="00AA16EB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AAB2C4" w14:textId="27EF5EF3" w:rsidR="00676FB3" w:rsidRPr="00AA16EB" w:rsidRDefault="007863A6" w:rsidP="00AA16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6.3. 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Aktivnost Nacionalni projekt prehrana učenika</w:t>
      </w:r>
    </w:p>
    <w:p w14:paraId="1CCDE8C0" w14:textId="7B090E9B" w:rsidR="00676FB3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 xml:space="preserve">Planirano </w:t>
      </w:r>
      <w:r w:rsidR="005D1105">
        <w:rPr>
          <w:rFonts w:ascii="Arial" w:hAnsi="Arial" w:cs="Arial"/>
          <w:sz w:val="24"/>
          <w:szCs w:val="24"/>
        </w:rPr>
        <w:t>125</w:t>
      </w:r>
      <w:r w:rsidR="00770197">
        <w:rPr>
          <w:rFonts w:ascii="Arial" w:hAnsi="Arial" w:cs="Arial"/>
          <w:sz w:val="24"/>
          <w:szCs w:val="24"/>
        </w:rPr>
        <w:t xml:space="preserve">.000,00 </w:t>
      </w:r>
      <w:r w:rsidRPr="00AA16EB">
        <w:rPr>
          <w:rFonts w:ascii="Arial" w:hAnsi="Arial" w:cs="Arial"/>
          <w:sz w:val="24"/>
          <w:szCs w:val="24"/>
        </w:rPr>
        <w:t>eura realizirano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5D1105">
        <w:rPr>
          <w:rFonts w:ascii="Arial" w:hAnsi="Arial" w:cs="Arial"/>
          <w:sz w:val="24"/>
          <w:szCs w:val="24"/>
        </w:rPr>
        <w:t>65.535</w:t>
      </w:r>
      <w:r w:rsidR="00770197">
        <w:rPr>
          <w:rFonts w:ascii="Arial" w:hAnsi="Arial" w:cs="Arial"/>
          <w:sz w:val="24"/>
          <w:szCs w:val="24"/>
        </w:rPr>
        <w:t>,</w:t>
      </w:r>
      <w:r w:rsidR="005D1105">
        <w:rPr>
          <w:rFonts w:ascii="Arial" w:hAnsi="Arial" w:cs="Arial"/>
          <w:sz w:val="24"/>
          <w:szCs w:val="24"/>
        </w:rPr>
        <w:t xml:space="preserve">38, </w:t>
      </w:r>
      <w:r w:rsidR="00770197">
        <w:rPr>
          <w:rFonts w:ascii="Arial" w:hAnsi="Arial" w:cs="Arial"/>
          <w:sz w:val="24"/>
          <w:szCs w:val="24"/>
        </w:rPr>
        <w:t xml:space="preserve"> </w:t>
      </w:r>
      <w:r w:rsidR="005D1105">
        <w:rPr>
          <w:rFonts w:ascii="Arial" w:hAnsi="Arial" w:cs="Arial"/>
          <w:sz w:val="24"/>
          <w:szCs w:val="24"/>
        </w:rPr>
        <w:t>52,43</w:t>
      </w:r>
      <w:r w:rsidRPr="00AA16EB">
        <w:rPr>
          <w:rFonts w:ascii="Arial" w:hAnsi="Arial" w:cs="Arial"/>
          <w:sz w:val="24"/>
          <w:szCs w:val="24"/>
        </w:rPr>
        <w:t>% plana.</w:t>
      </w:r>
    </w:p>
    <w:p w14:paraId="5D58D6B7" w14:textId="144BE764" w:rsidR="00AA16EB" w:rsidRDefault="00381CCA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CCA">
        <w:rPr>
          <w:rFonts w:ascii="Arial" w:hAnsi="Arial" w:cs="Arial"/>
          <w:sz w:val="24"/>
          <w:szCs w:val="24"/>
        </w:rPr>
        <w:t>Nacionalni projekt prehrane učenika osnovnih škola je program koji za cilj ima osigurati besplatne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obroke za učenike osnovnih škola kako bi se poboljšala njihova prehrana i doprinijelo njihovom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zdravlju, boljem obrazovanju i dobrobiti. Program ima ulogu u poboljšanju kvalitete obrazovanja 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dobrobiti učenika te promicanju zdravih prehrambenih navika u školskim okruženjima. Programi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poput ovog obično prate stroga pravila i smjernice kako bi osigurali transparentnost 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odgovornost u upravljanju javnim sredstvima.</w:t>
      </w:r>
      <w:r w:rsidR="00E17B9C">
        <w:rPr>
          <w:rFonts w:ascii="Arial" w:hAnsi="Arial" w:cs="Arial"/>
          <w:sz w:val="24"/>
          <w:szCs w:val="24"/>
        </w:rPr>
        <w:t xml:space="preserve"> </w:t>
      </w:r>
      <w:r w:rsidR="00676FB3" w:rsidRPr="00AA16EB">
        <w:rPr>
          <w:rFonts w:ascii="Arial" w:hAnsi="Arial" w:cs="Arial"/>
          <w:sz w:val="24"/>
          <w:szCs w:val="24"/>
        </w:rPr>
        <w:t>Škola je provela javnu nabavu za projekt</w:t>
      </w:r>
      <w:r>
        <w:rPr>
          <w:rFonts w:ascii="Arial" w:hAnsi="Arial" w:cs="Arial"/>
          <w:sz w:val="24"/>
          <w:szCs w:val="24"/>
        </w:rPr>
        <w:t>.</w:t>
      </w:r>
    </w:p>
    <w:p w14:paraId="6E01E63B" w14:textId="77777777" w:rsidR="00381CCA" w:rsidRPr="00AA16EB" w:rsidRDefault="00381CCA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FC8EB9" w14:textId="4720EA68" w:rsidR="00676FB3" w:rsidRPr="00AA16EB" w:rsidRDefault="007863A6" w:rsidP="00AA16E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>6.4.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Aktivnost Prijevoz učenika s teškoćama – OŠ</w:t>
      </w:r>
    </w:p>
    <w:p w14:paraId="68D732EA" w14:textId="5016F2A0" w:rsidR="00676FB3" w:rsidRPr="00AA16EB" w:rsidRDefault="00676FB3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 xml:space="preserve">Navedeni troškovi odnose </w:t>
      </w:r>
      <w:r w:rsidR="00381CCA">
        <w:rPr>
          <w:rFonts w:ascii="Arial" w:hAnsi="Arial" w:cs="Arial"/>
          <w:sz w:val="24"/>
          <w:szCs w:val="24"/>
        </w:rPr>
        <w:t>se</w:t>
      </w:r>
      <w:r w:rsidR="00381CCA" w:rsidRPr="00381CCA">
        <w:rPr>
          <w:rFonts w:ascii="Arial" w:hAnsi="Arial" w:cs="Arial"/>
          <w:sz w:val="24"/>
          <w:szCs w:val="24"/>
        </w:rPr>
        <w:t xml:space="preserve"> na osiguravanje prijevoza djece s teškoćama do njihovih škola. Programi za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prijevoz djece s teškoćama igraju ključnu ulogu u osiguranju pristupa obrazovanju za sve, bez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obzira na njihove posebne potrebe. Pomoć iz proračuna je ključna za održavanje ovih programa i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osiguravanje da svi učenici imaju jednake mogućnosti za obrazovanje.</w:t>
      </w:r>
    </w:p>
    <w:p w14:paraId="367AF886" w14:textId="363CB9D8" w:rsidR="007863A6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Troškove u c</w:t>
      </w:r>
      <w:r w:rsidR="007863A6" w:rsidRPr="00AA16EB">
        <w:rPr>
          <w:rFonts w:ascii="Arial" w:hAnsi="Arial" w:cs="Arial"/>
          <w:sz w:val="24"/>
          <w:szCs w:val="24"/>
        </w:rPr>
        <w:t>i</w:t>
      </w:r>
      <w:r w:rsidRPr="00AA16EB">
        <w:rPr>
          <w:rFonts w:ascii="Arial" w:hAnsi="Arial" w:cs="Arial"/>
          <w:sz w:val="24"/>
          <w:szCs w:val="24"/>
        </w:rPr>
        <w:t>jelosti pokriva MZO</w:t>
      </w:r>
      <w:r w:rsidR="00AD21B3">
        <w:rPr>
          <w:rFonts w:ascii="Arial" w:hAnsi="Arial" w:cs="Arial"/>
          <w:sz w:val="24"/>
          <w:szCs w:val="24"/>
        </w:rPr>
        <w:t>M</w:t>
      </w:r>
      <w:r w:rsidRPr="00AA16EB">
        <w:rPr>
          <w:rFonts w:ascii="Arial" w:hAnsi="Arial" w:cs="Arial"/>
          <w:sz w:val="24"/>
          <w:szCs w:val="24"/>
        </w:rPr>
        <w:t xml:space="preserve">. Realizirano </w:t>
      </w:r>
      <w:r w:rsidR="005D1105">
        <w:rPr>
          <w:rFonts w:ascii="Arial" w:hAnsi="Arial" w:cs="Arial"/>
          <w:sz w:val="24"/>
          <w:szCs w:val="24"/>
        </w:rPr>
        <w:t>56,77</w:t>
      </w:r>
      <w:r w:rsidRPr="00AA16EB">
        <w:rPr>
          <w:rFonts w:ascii="Arial" w:hAnsi="Arial" w:cs="Arial"/>
          <w:sz w:val="24"/>
          <w:szCs w:val="24"/>
        </w:rPr>
        <w:t>% plana.</w:t>
      </w:r>
    </w:p>
    <w:p w14:paraId="246EFFAF" w14:textId="77777777" w:rsidR="007863A6" w:rsidRPr="00EF793E" w:rsidRDefault="007863A6" w:rsidP="002819B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AB9B310" w14:textId="0E00243D" w:rsidR="00676FB3" w:rsidRPr="00AA16EB" w:rsidRDefault="00615F72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>6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.5</w:t>
      </w:r>
      <w:r w:rsidRPr="00AA16E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D1C2A" w:rsidRPr="00AA16EB">
        <w:rPr>
          <w:rFonts w:ascii="Arial" w:hAnsi="Arial" w:cs="Arial"/>
          <w:b/>
          <w:sz w:val="24"/>
          <w:szCs w:val="24"/>
          <w:u w:val="single"/>
        </w:rPr>
        <w:t>Aktivnost Podizanje kvalitete i stand</w:t>
      </w:r>
      <w:r w:rsidR="00FA73A1" w:rsidRPr="00AA16EB">
        <w:rPr>
          <w:rFonts w:ascii="Arial" w:hAnsi="Arial" w:cs="Arial"/>
          <w:b/>
          <w:sz w:val="24"/>
          <w:szCs w:val="24"/>
          <w:u w:val="single"/>
        </w:rPr>
        <w:t>a</w:t>
      </w:r>
      <w:r w:rsidR="009D1C2A" w:rsidRPr="00AA16EB">
        <w:rPr>
          <w:rFonts w:ascii="Arial" w:hAnsi="Arial" w:cs="Arial"/>
          <w:b/>
          <w:sz w:val="24"/>
          <w:szCs w:val="24"/>
          <w:u w:val="single"/>
        </w:rPr>
        <w:t>rda kroz aktivnost osnovne</w:t>
      </w:r>
      <w:r w:rsidR="009D1C2A" w:rsidRPr="00E17B9C">
        <w:rPr>
          <w:rFonts w:ascii="Arial" w:hAnsi="Arial" w:cs="Arial"/>
          <w:b/>
          <w:sz w:val="24"/>
          <w:szCs w:val="24"/>
          <w:u w:val="single"/>
        </w:rPr>
        <w:t xml:space="preserve"> škole</w:t>
      </w:r>
      <w:r w:rsidR="009D1C2A" w:rsidRPr="00AA16EB">
        <w:rPr>
          <w:rFonts w:ascii="Arial" w:hAnsi="Arial" w:cs="Arial"/>
          <w:sz w:val="24"/>
          <w:szCs w:val="24"/>
        </w:rPr>
        <w:t xml:space="preserve"> </w:t>
      </w:r>
    </w:p>
    <w:p w14:paraId="31C23616" w14:textId="28A4C519" w:rsidR="00F60BA1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Rashodi su planirani u</w:t>
      </w:r>
      <w:r w:rsidR="00546D5F" w:rsidRPr="00AA16EB">
        <w:rPr>
          <w:rFonts w:ascii="Arial" w:hAnsi="Arial" w:cs="Arial"/>
          <w:sz w:val="24"/>
          <w:szCs w:val="24"/>
        </w:rPr>
        <w:t xml:space="preserve"> iznosu </w:t>
      </w:r>
      <w:r w:rsidR="005D1105">
        <w:rPr>
          <w:rFonts w:ascii="Arial" w:hAnsi="Arial" w:cs="Arial"/>
          <w:sz w:val="24"/>
          <w:szCs w:val="24"/>
        </w:rPr>
        <w:t>33.749</w:t>
      </w:r>
      <w:r w:rsidR="00770197">
        <w:rPr>
          <w:rFonts w:ascii="Arial" w:hAnsi="Arial" w:cs="Arial"/>
          <w:sz w:val="24"/>
          <w:szCs w:val="24"/>
        </w:rPr>
        <w:t xml:space="preserve"> </w:t>
      </w:r>
      <w:r w:rsidR="00CB2724" w:rsidRPr="00AA16EB">
        <w:rPr>
          <w:rFonts w:ascii="Arial" w:hAnsi="Arial" w:cs="Arial"/>
          <w:sz w:val="24"/>
          <w:szCs w:val="24"/>
        </w:rPr>
        <w:t>eura</w:t>
      </w:r>
      <w:r w:rsidR="00FF3BE8" w:rsidRPr="00AA16EB">
        <w:rPr>
          <w:rFonts w:ascii="Arial" w:hAnsi="Arial" w:cs="Arial"/>
          <w:sz w:val="24"/>
          <w:szCs w:val="24"/>
        </w:rPr>
        <w:t>, a reali</w:t>
      </w:r>
      <w:r w:rsidR="00546D5F" w:rsidRPr="00AA16EB">
        <w:rPr>
          <w:rFonts w:ascii="Arial" w:hAnsi="Arial" w:cs="Arial"/>
          <w:sz w:val="24"/>
          <w:szCs w:val="24"/>
        </w:rPr>
        <w:t xml:space="preserve">zirani su u iznosu od </w:t>
      </w:r>
      <w:r w:rsidR="005D1105">
        <w:rPr>
          <w:rFonts w:ascii="Arial" w:hAnsi="Arial" w:cs="Arial"/>
          <w:sz w:val="24"/>
          <w:szCs w:val="24"/>
        </w:rPr>
        <w:t>21.998,11</w:t>
      </w:r>
      <w:r w:rsidR="00770197">
        <w:rPr>
          <w:rFonts w:ascii="Arial" w:hAnsi="Arial" w:cs="Arial"/>
          <w:sz w:val="24"/>
          <w:szCs w:val="24"/>
        </w:rPr>
        <w:t xml:space="preserve"> </w:t>
      </w:r>
      <w:r w:rsidR="00CB2724" w:rsidRPr="00AA16EB">
        <w:rPr>
          <w:rFonts w:ascii="Arial" w:hAnsi="Arial" w:cs="Arial"/>
          <w:sz w:val="24"/>
          <w:szCs w:val="24"/>
        </w:rPr>
        <w:t xml:space="preserve">eura </w:t>
      </w:r>
      <w:r w:rsidR="00546D5F" w:rsidRPr="00AA16EB">
        <w:rPr>
          <w:rFonts w:ascii="Arial" w:hAnsi="Arial" w:cs="Arial"/>
          <w:sz w:val="24"/>
          <w:szCs w:val="24"/>
        </w:rPr>
        <w:t xml:space="preserve">ili </w:t>
      </w:r>
      <w:r w:rsidR="005D1105">
        <w:rPr>
          <w:rFonts w:ascii="Arial" w:hAnsi="Arial" w:cs="Arial"/>
          <w:sz w:val="24"/>
          <w:szCs w:val="24"/>
        </w:rPr>
        <w:t>65,18</w:t>
      </w:r>
      <w:r w:rsidR="00FF3BE8" w:rsidRPr="00AA16EB">
        <w:rPr>
          <w:rFonts w:ascii="Arial" w:hAnsi="Arial" w:cs="Arial"/>
          <w:sz w:val="24"/>
          <w:szCs w:val="24"/>
        </w:rPr>
        <w:t>% godišnjeg plana</w:t>
      </w:r>
      <w:r w:rsidR="004D690F" w:rsidRPr="00AA16EB">
        <w:rPr>
          <w:rFonts w:ascii="Arial" w:hAnsi="Arial" w:cs="Arial"/>
          <w:sz w:val="24"/>
          <w:szCs w:val="24"/>
        </w:rPr>
        <w:t xml:space="preserve">. </w:t>
      </w:r>
    </w:p>
    <w:p w14:paraId="5AE91706" w14:textId="749B4D55" w:rsidR="004D690F" w:rsidRPr="00AA16EB" w:rsidRDefault="004D690F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O</w:t>
      </w:r>
      <w:r w:rsidR="00FF3BE8" w:rsidRPr="00AA16EB">
        <w:rPr>
          <w:rFonts w:ascii="Arial" w:hAnsi="Arial" w:cs="Arial"/>
          <w:sz w:val="24"/>
          <w:szCs w:val="24"/>
        </w:rPr>
        <w:t>dnose se na financiranje materijalnih rashoda, financijskih rashoda i rashoda za nabavu nefinancijske imovine</w:t>
      </w:r>
      <w:r w:rsidRPr="00AA16EB">
        <w:rPr>
          <w:rFonts w:ascii="Arial" w:hAnsi="Arial" w:cs="Arial"/>
          <w:sz w:val="24"/>
          <w:szCs w:val="24"/>
        </w:rPr>
        <w:t>, jer sredstva doznačena iz decentraliziranih funkcija nisu dostatna za realizaciju nastavnih planova i</w:t>
      </w:r>
      <w:r w:rsidR="00676FB3" w:rsidRPr="00AA16EB">
        <w:rPr>
          <w:rFonts w:ascii="Arial" w:hAnsi="Arial" w:cs="Arial"/>
          <w:sz w:val="24"/>
          <w:szCs w:val="24"/>
        </w:rPr>
        <w:t xml:space="preserve"> programa i Školskog kurikuluma, također navedeni rashodi odnose se na isplatu plaća za sudske tuž</w:t>
      </w:r>
      <w:r w:rsidR="00E17B9C">
        <w:rPr>
          <w:rFonts w:ascii="Arial" w:hAnsi="Arial" w:cs="Arial"/>
          <w:sz w:val="24"/>
          <w:szCs w:val="24"/>
        </w:rPr>
        <w:t>b</w:t>
      </w:r>
      <w:r w:rsidR="00D31286">
        <w:rPr>
          <w:rFonts w:ascii="Arial" w:hAnsi="Arial" w:cs="Arial"/>
          <w:sz w:val="24"/>
          <w:szCs w:val="24"/>
        </w:rPr>
        <w:t>e,</w:t>
      </w:r>
      <w:r w:rsidR="00D31286" w:rsidRPr="00D31286">
        <w:rPr>
          <w:rFonts w:ascii="Arial" w:hAnsi="Arial" w:cs="Arial"/>
          <w:sz w:val="24"/>
          <w:szCs w:val="24"/>
        </w:rPr>
        <w:t xml:space="preserve"> </w:t>
      </w:r>
      <w:r w:rsidR="00D31286">
        <w:rPr>
          <w:rFonts w:ascii="Arial" w:hAnsi="Arial" w:cs="Arial"/>
          <w:sz w:val="24"/>
          <w:szCs w:val="24"/>
        </w:rPr>
        <w:t>te financiranje rada voditelja županijskih stručnih vijeća.</w:t>
      </w:r>
      <w:r w:rsidR="000F2D81">
        <w:rPr>
          <w:rFonts w:ascii="Arial" w:hAnsi="Arial" w:cs="Arial"/>
          <w:sz w:val="24"/>
          <w:szCs w:val="24"/>
        </w:rPr>
        <w:t>.</w:t>
      </w:r>
    </w:p>
    <w:p w14:paraId="23E0C7EA" w14:textId="01CA9BA0" w:rsidR="005076E6" w:rsidRPr="00AA16EB" w:rsidRDefault="00FF3BE8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Navedeni rashodi financirani su iz izvora</w:t>
      </w:r>
      <w:r w:rsidR="00203B38" w:rsidRPr="00AA16EB">
        <w:rPr>
          <w:rFonts w:ascii="Arial" w:hAnsi="Arial" w:cs="Arial"/>
          <w:sz w:val="24"/>
          <w:szCs w:val="24"/>
        </w:rPr>
        <w:t xml:space="preserve"> vlastitih prihoda, </w:t>
      </w:r>
      <w:r w:rsidR="00CB2724" w:rsidRPr="00AA16EB">
        <w:rPr>
          <w:rFonts w:ascii="Arial" w:hAnsi="Arial" w:cs="Arial"/>
          <w:sz w:val="24"/>
          <w:szCs w:val="24"/>
        </w:rPr>
        <w:t>iz izvora opći prihodi i primici ŠKŽ</w:t>
      </w:r>
      <w:r w:rsidR="00203B38" w:rsidRPr="00AA16EB">
        <w:rPr>
          <w:rFonts w:ascii="Arial" w:hAnsi="Arial" w:cs="Arial"/>
          <w:sz w:val="24"/>
          <w:szCs w:val="24"/>
        </w:rPr>
        <w:t>, ostalih pomoći i donacija.</w:t>
      </w:r>
    </w:p>
    <w:p w14:paraId="01620EF7" w14:textId="5A4887A7" w:rsidR="008A711F" w:rsidRDefault="008A711F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 xml:space="preserve">Cilj koji je ostvaren provedbom ove aktivnosti : </w:t>
      </w:r>
      <w:r w:rsidRPr="00AA16EB">
        <w:rPr>
          <w:rFonts w:ascii="Arial" w:eastAsia="Calibri" w:hAnsi="Arial" w:cs="Arial"/>
          <w:sz w:val="24"/>
          <w:szCs w:val="24"/>
        </w:rPr>
        <w:t xml:space="preserve">pokriće dijela materijalnih rashoda, </w:t>
      </w:r>
      <w:r w:rsidR="00CB2724" w:rsidRPr="00AA16EB">
        <w:rPr>
          <w:rFonts w:ascii="Arial" w:eastAsia="Calibri" w:hAnsi="Arial" w:cs="Arial"/>
          <w:sz w:val="24"/>
          <w:szCs w:val="24"/>
        </w:rPr>
        <w:t xml:space="preserve">tekuće </w:t>
      </w:r>
      <w:r w:rsidRPr="00AA16EB">
        <w:rPr>
          <w:rFonts w:ascii="Arial" w:eastAsia="Calibri" w:hAnsi="Arial" w:cs="Arial"/>
          <w:sz w:val="24"/>
          <w:szCs w:val="24"/>
        </w:rPr>
        <w:t>održavanje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postrojenja</w:t>
      </w:r>
    </w:p>
    <w:p w14:paraId="2B88F04E" w14:textId="77777777" w:rsidR="00AA16EB" w:rsidRPr="00AA16EB" w:rsidRDefault="00AA16EB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DF0C9" w14:textId="1BC22B01" w:rsidR="007863A6" w:rsidRPr="00AA16EB" w:rsidRDefault="00B66975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eastAsia="Calibri" w:hAnsi="Arial" w:cs="Arial"/>
          <w:b/>
          <w:sz w:val="24"/>
          <w:szCs w:val="24"/>
          <w:u w:val="single"/>
        </w:rPr>
        <w:t>6.</w:t>
      </w:r>
      <w:r w:rsidR="00676FB3" w:rsidRPr="00AA16EB"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Pr="00AA16EB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426F4E" w:rsidRPr="00AA16EB">
        <w:rPr>
          <w:rFonts w:ascii="Arial" w:eastAsia="Calibri" w:hAnsi="Arial" w:cs="Arial"/>
          <w:b/>
          <w:sz w:val="24"/>
          <w:szCs w:val="24"/>
          <w:u w:val="single"/>
        </w:rPr>
        <w:t>Tekući projekt:</w:t>
      </w:r>
      <w:r w:rsidR="003835C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426F4E" w:rsidRPr="00AA16EB">
        <w:rPr>
          <w:rFonts w:ascii="Arial" w:eastAsia="Calibri" w:hAnsi="Arial" w:cs="Arial"/>
          <w:b/>
          <w:sz w:val="24"/>
          <w:szCs w:val="24"/>
          <w:u w:val="single"/>
        </w:rPr>
        <w:t>Opskrba školskih ustanova besplatnim zalihama menstrualnih potrepština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 </w:t>
      </w:r>
    </w:p>
    <w:p w14:paraId="4F39749C" w14:textId="506EE819" w:rsidR="00426F4E" w:rsidRPr="00AA16EB" w:rsidRDefault="007863A6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eastAsia="Calibri" w:hAnsi="Arial" w:cs="Arial"/>
          <w:sz w:val="24"/>
          <w:szCs w:val="24"/>
        </w:rPr>
        <w:t>Rashodi planirani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u iznosu 1.294</w:t>
      </w:r>
      <w:r w:rsidR="00426F4E" w:rsidRPr="00AA16EB">
        <w:rPr>
          <w:rFonts w:ascii="Arial" w:eastAsia="Calibri" w:hAnsi="Arial" w:cs="Arial"/>
          <w:sz w:val="24"/>
          <w:szCs w:val="24"/>
        </w:rPr>
        <w:t xml:space="preserve"> eura , </w:t>
      </w:r>
      <w:r w:rsidR="00AA16EB" w:rsidRPr="00AA16EB">
        <w:rPr>
          <w:rFonts w:ascii="Arial" w:eastAsia="Calibri" w:hAnsi="Arial" w:cs="Arial"/>
          <w:sz w:val="24"/>
          <w:szCs w:val="24"/>
        </w:rPr>
        <w:t>realizirani u iznosu 1</w:t>
      </w:r>
      <w:r w:rsidR="00381CCA">
        <w:rPr>
          <w:rFonts w:ascii="Arial" w:eastAsia="Calibri" w:hAnsi="Arial" w:cs="Arial"/>
          <w:sz w:val="24"/>
          <w:szCs w:val="24"/>
        </w:rPr>
        <w:t>.</w:t>
      </w:r>
      <w:r w:rsidR="00AA16EB" w:rsidRPr="00AA16EB">
        <w:rPr>
          <w:rFonts w:ascii="Arial" w:eastAsia="Calibri" w:hAnsi="Arial" w:cs="Arial"/>
          <w:sz w:val="24"/>
          <w:szCs w:val="24"/>
        </w:rPr>
        <w:t>2</w:t>
      </w:r>
      <w:r w:rsidR="005D1105">
        <w:rPr>
          <w:rFonts w:ascii="Arial" w:eastAsia="Calibri" w:hAnsi="Arial" w:cs="Arial"/>
          <w:sz w:val="24"/>
          <w:szCs w:val="24"/>
        </w:rPr>
        <w:t>60</w:t>
      </w:r>
      <w:r w:rsidR="00770197">
        <w:rPr>
          <w:rFonts w:ascii="Arial" w:eastAsia="Calibri" w:hAnsi="Arial" w:cs="Arial"/>
          <w:sz w:val="24"/>
          <w:szCs w:val="24"/>
        </w:rPr>
        <w:t>,00</w:t>
      </w:r>
      <w:r w:rsidR="00AA16EB" w:rsidRPr="00AA16EB">
        <w:rPr>
          <w:rFonts w:ascii="Arial" w:eastAsia="Calibri" w:hAnsi="Arial" w:cs="Arial"/>
          <w:sz w:val="24"/>
          <w:szCs w:val="24"/>
        </w:rPr>
        <w:t xml:space="preserve"> odnosno </w:t>
      </w:r>
      <w:r w:rsidR="005D1105">
        <w:rPr>
          <w:rFonts w:ascii="Arial" w:eastAsia="Calibri" w:hAnsi="Arial" w:cs="Arial"/>
          <w:sz w:val="24"/>
          <w:szCs w:val="24"/>
        </w:rPr>
        <w:t>97,37</w:t>
      </w:r>
      <w:r w:rsidR="00AA16EB" w:rsidRPr="00AA16EB">
        <w:rPr>
          <w:rFonts w:ascii="Arial" w:eastAsia="Calibri" w:hAnsi="Arial" w:cs="Arial"/>
          <w:sz w:val="24"/>
          <w:szCs w:val="24"/>
        </w:rPr>
        <w:t>%</w:t>
      </w:r>
      <w:r w:rsidR="00426F4E" w:rsidRPr="00AA16EB">
        <w:rPr>
          <w:rFonts w:ascii="Arial" w:eastAsia="Calibri" w:hAnsi="Arial" w:cs="Arial"/>
          <w:sz w:val="24"/>
          <w:szCs w:val="24"/>
        </w:rPr>
        <w:t xml:space="preserve"> </w:t>
      </w:r>
    </w:p>
    <w:p w14:paraId="603EE91A" w14:textId="77777777" w:rsidR="00381CCA" w:rsidRDefault="00381CCA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1CCA">
        <w:rPr>
          <w:rFonts w:ascii="Arial" w:eastAsia="Calibri" w:hAnsi="Arial" w:cs="Arial"/>
          <w:sz w:val="24"/>
          <w:szCs w:val="24"/>
        </w:rPr>
        <w:lastRenderedPageBreak/>
        <w:t>Program kojim se osigurava besplatna opskrba osnovnih škola s menstrualnim higijenskim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proizvodima za učenice. Cilj je osigurati da sve učenice imaju pristup menstrualnim higijenskim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proizvodima kako bi mogle bezbrižno sudjelovati u školskim aktivnostima. Pomoć iz proračuna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uključuje dodjelu sredstava iz proračuna za kupnju i distribuciju menstrualnih proizvoda.</w:t>
      </w:r>
    </w:p>
    <w:p w14:paraId="2C10A55B" w14:textId="249C409A" w:rsidR="00584D48" w:rsidRPr="00770197" w:rsidRDefault="00381CCA" w:rsidP="00770197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EF793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437F7ED3" w14:textId="2A52EB00" w:rsidR="0091337F" w:rsidRPr="00584D48" w:rsidRDefault="00F659B9" w:rsidP="00584D48">
      <w:pPr>
        <w:tabs>
          <w:tab w:val="left" w:pos="15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4D48">
        <w:rPr>
          <w:rFonts w:ascii="Arial" w:eastAsia="Calibri" w:hAnsi="Arial" w:cs="Arial"/>
          <w:b/>
          <w:sz w:val="24"/>
          <w:szCs w:val="24"/>
          <w:u w:val="single"/>
        </w:rPr>
        <w:t>6.</w:t>
      </w:r>
      <w:r w:rsidR="00770197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584D48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91337F" w:rsidRPr="00584D48">
        <w:rPr>
          <w:rFonts w:ascii="Arial" w:hAnsi="Arial" w:cs="Arial"/>
          <w:b/>
          <w:sz w:val="24"/>
          <w:szCs w:val="24"/>
          <w:u w:val="single"/>
        </w:rPr>
        <w:t>Tekući projekt / Za</w:t>
      </w:r>
      <w:r w:rsidR="005D1105">
        <w:rPr>
          <w:rFonts w:ascii="Arial" w:hAnsi="Arial" w:cs="Arial"/>
          <w:b/>
          <w:sz w:val="24"/>
          <w:szCs w:val="24"/>
          <w:u w:val="single"/>
        </w:rPr>
        <w:t xml:space="preserve">jedno do znanja uz više elana </w:t>
      </w:r>
      <w:r w:rsidR="00584D48" w:rsidRPr="00584D48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770197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91337F" w:rsidRPr="00584D48">
        <w:rPr>
          <w:rFonts w:ascii="Arial" w:hAnsi="Arial" w:cs="Arial"/>
          <w:b/>
          <w:sz w:val="24"/>
          <w:szCs w:val="24"/>
          <w:u w:val="single"/>
        </w:rPr>
        <w:t>– OŠ</w:t>
      </w:r>
    </w:p>
    <w:p w14:paraId="639DB767" w14:textId="67D671C4" w:rsidR="003C5923" w:rsidRDefault="00381CCA" w:rsidP="003C59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1CCA">
        <w:rPr>
          <w:rFonts w:ascii="Arial" w:eastAsia="Calibri" w:hAnsi="Arial" w:cs="Arial"/>
          <w:sz w:val="24"/>
          <w:szCs w:val="24"/>
        </w:rPr>
        <w:t>Program je namijenjen pomoćnicima koji pružaju podršku učenicima s posebnim obrazovnim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potrebama u školama. Ovaj program ima za cilj osigurati da svi učenici, bez obzira na svoje</w:t>
      </w:r>
      <w:r w:rsidR="00AD0D0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posebne potrebe, dobiju pristup visokokvalitetnom obrazovanju i imaju priliku ostvariti svoj puni</w:t>
      </w:r>
      <w:r w:rsidR="00AD0D0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potencijal. Pomoćnici u nastavi igraju ključnu ulogu u ovom procesu kako bi se podržao</w:t>
      </w:r>
      <w:r w:rsidR="000F2D8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individualni razvoj svakog učenika.</w:t>
      </w:r>
      <w:r w:rsidR="003C5923">
        <w:rPr>
          <w:rFonts w:ascii="Arial" w:eastAsia="Calibri" w:hAnsi="Arial" w:cs="Arial"/>
          <w:sz w:val="24"/>
          <w:szCs w:val="24"/>
        </w:rPr>
        <w:t xml:space="preserve"> Ostvarenje u prvoj polovici 2025. g.  vršilo se iz izvora 1501. Detaljno prikazano u posebnom dijelu izvještaja po programskoj klasifikaciji. </w:t>
      </w:r>
    </w:p>
    <w:p w14:paraId="11422A9C" w14:textId="595A953D" w:rsidR="001B4BC4" w:rsidRDefault="001B4BC4" w:rsidP="00381CC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87DD269" w14:textId="77777777" w:rsidR="00584D48" w:rsidRPr="00584D48" w:rsidRDefault="00584D48" w:rsidP="00584D4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EDBD0C1" w14:textId="0959518D" w:rsidR="001B4BC4" w:rsidRPr="00884C0F" w:rsidRDefault="00B66975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84C0F">
        <w:rPr>
          <w:rFonts w:ascii="Arial" w:hAnsi="Arial" w:cs="Arial"/>
          <w:b/>
          <w:sz w:val="24"/>
          <w:szCs w:val="24"/>
          <w:u w:val="single"/>
        </w:rPr>
        <w:t>6.</w:t>
      </w:r>
      <w:r w:rsidR="00A43E29">
        <w:rPr>
          <w:rFonts w:ascii="Arial" w:hAnsi="Arial" w:cs="Arial"/>
          <w:b/>
          <w:sz w:val="24"/>
          <w:szCs w:val="24"/>
          <w:u w:val="single"/>
        </w:rPr>
        <w:t>8</w:t>
      </w:r>
      <w:r w:rsidRPr="00884C0F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2151C" w:rsidRPr="00884C0F">
        <w:rPr>
          <w:rFonts w:ascii="Arial" w:hAnsi="Arial" w:cs="Arial"/>
          <w:b/>
          <w:sz w:val="24"/>
          <w:szCs w:val="24"/>
          <w:u w:val="single"/>
        </w:rPr>
        <w:t>Aktiv</w:t>
      </w:r>
      <w:r w:rsidR="001B4BC4" w:rsidRPr="00884C0F">
        <w:rPr>
          <w:rFonts w:ascii="Arial" w:hAnsi="Arial" w:cs="Arial"/>
          <w:b/>
          <w:sz w:val="24"/>
          <w:szCs w:val="24"/>
          <w:u w:val="single"/>
        </w:rPr>
        <w:t>nost Redovna djelatnost škola (</w:t>
      </w:r>
      <w:r w:rsidR="0082151C" w:rsidRPr="00884C0F">
        <w:rPr>
          <w:rFonts w:ascii="Arial" w:hAnsi="Arial" w:cs="Arial"/>
          <w:b/>
          <w:sz w:val="24"/>
          <w:szCs w:val="24"/>
          <w:u w:val="single"/>
        </w:rPr>
        <w:t>evidencijski prihodi</w:t>
      </w:r>
      <w:r w:rsidR="0082151C" w:rsidRPr="00884C0F">
        <w:rPr>
          <w:rFonts w:ascii="Arial" w:hAnsi="Arial" w:cs="Arial"/>
          <w:sz w:val="24"/>
          <w:szCs w:val="24"/>
          <w:u w:val="single"/>
        </w:rPr>
        <w:t xml:space="preserve"> )</w:t>
      </w:r>
    </w:p>
    <w:p w14:paraId="1EAC0891" w14:textId="6F0A5A72" w:rsidR="00034902" w:rsidRPr="00884C0F" w:rsidRDefault="001B4BC4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sz w:val="24"/>
          <w:szCs w:val="24"/>
        </w:rPr>
        <w:t>P</w:t>
      </w:r>
      <w:r w:rsidR="0082151C" w:rsidRPr="00884C0F">
        <w:rPr>
          <w:rFonts w:ascii="Arial" w:hAnsi="Arial" w:cs="Arial"/>
          <w:sz w:val="24"/>
          <w:szCs w:val="24"/>
        </w:rPr>
        <w:t>lanirani su rashodi u</w:t>
      </w:r>
      <w:r w:rsidRPr="00884C0F">
        <w:rPr>
          <w:rFonts w:ascii="Arial" w:hAnsi="Arial" w:cs="Arial"/>
          <w:sz w:val="24"/>
          <w:szCs w:val="24"/>
        </w:rPr>
        <w:t xml:space="preserve"> iznosu od </w:t>
      </w:r>
      <w:r w:rsidR="00770197">
        <w:rPr>
          <w:rFonts w:ascii="Arial" w:hAnsi="Arial" w:cs="Arial"/>
          <w:sz w:val="24"/>
          <w:szCs w:val="24"/>
        </w:rPr>
        <w:t>3.</w:t>
      </w:r>
      <w:r w:rsidR="00A43E29">
        <w:rPr>
          <w:rFonts w:ascii="Arial" w:hAnsi="Arial" w:cs="Arial"/>
          <w:sz w:val="24"/>
          <w:szCs w:val="24"/>
        </w:rPr>
        <w:t>245.350,00</w:t>
      </w:r>
      <w:r w:rsidR="00770197">
        <w:rPr>
          <w:rFonts w:ascii="Arial" w:hAnsi="Arial" w:cs="Arial"/>
          <w:sz w:val="24"/>
          <w:szCs w:val="24"/>
        </w:rPr>
        <w:t xml:space="preserve"> </w:t>
      </w:r>
      <w:r w:rsidR="00400241" w:rsidRPr="00884C0F">
        <w:rPr>
          <w:rFonts w:ascii="Arial" w:hAnsi="Arial" w:cs="Arial"/>
          <w:sz w:val="24"/>
          <w:szCs w:val="24"/>
        </w:rPr>
        <w:t>eura</w:t>
      </w:r>
      <w:r w:rsidR="0082151C" w:rsidRPr="00884C0F">
        <w:rPr>
          <w:rFonts w:ascii="Arial" w:hAnsi="Arial" w:cs="Arial"/>
          <w:sz w:val="24"/>
          <w:szCs w:val="24"/>
        </w:rPr>
        <w:t>, a realizi</w:t>
      </w:r>
      <w:r w:rsidR="00546D5F" w:rsidRPr="00884C0F">
        <w:rPr>
          <w:rFonts w:ascii="Arial" w:hAnsi="Arial" w:cs="Arial"/>
          <w:sz w:val="24"/>
          <w:szCs w:val="24"/>
        </w:rPr>
        <w:t xml:space="preserve">rani su u iznosu od </w:t>
      </w:r>
      <w:r w:rsidR="00770197">
        <w:rPr>
          <w:rFonts w:ascii="Arial" w:hAnsi="Arial" w:cs="Arial"/>
          <w:sz w:val="24"/>
          <w:szCs w:val="24"/>
        </w:rPr>
        <w:t>1.</w:t>
      </w:r>
      <w:r w:rsidR="00A43E29">
        <w:rPr>
          <w:rFonts w:ascii="Arial" w:hAnsi="Arial" w:cs="Arial"/>
          <w:sz w:val="24"/>
          <w:szCs w:val="24"/>
        </w:rPr>
        <w:t>781.601,73</w:t>
      </w:r>
      <w:r w:rsidR="00770197">
        <w:rPr>
          <w:rFonts w:ascii="Arial" w:hAnsi="Arial" w:cs="Arial"/>
          <w:sz w:val="24"/>
          <w:szCs w:val="24"/>
        </w:rPr>
        <w:t xml:space="preserve"> </w:t>
      </w:r>
      <w:r w:rsidR="00400241" w:rsidRPr="00884C0F">
        <w:rPr>
          <w:rFonts w:ascii="Arial" w:hAnsi="Arial" w:cs="Arial"/>
          <w:sz w:val="24"/>
          <w:szCs w:val="24"/>
        </w:rPr>
        <w:t>eura</w:t>
      </w:r>
      <w:r w:rsidR="00546D5F" w:rsidRPr="00884C0F">
        <w:rPr>
          <w:rFonts w:ascii="Arial" w:hAnsi="Arial" w:cs="Arial"/>
          <w:sz w:val="24"/>
          <w:szCs w:val="24"/>
        </w:rPr>
        <w:t xml:space="preserve"> ili </w:t>
      </w:r>
      <w:r w:rsidR="00A43E29">
        <w:rPr>
          <w:rFonts w:ascii="Arial" w:hAnsi="Arial" w:cs="Arial"/>
          <w:sz w:val="24"/>
          <w:szCs w:val="24"/>
        </w:rPr>
        <w:t>54,90</w:t>
      </w:r>
      <w:r w:rsidR="0082151C" w:rsidRPr="00884C0F">
        <w:rPr>
          <w:rFonts w:ascii="Arial" w:hAnsi="Arial" w:cs="Arial"/>
          <w:sz w:val="24"/>
          <w:szCs w:val="24"/>
        </w:rPr>
        <w:t>% godišnjeg plana. Rashodi se odnose na rashode za zaposlene, doprinose na pla</w:t>
      </w:r>
      <w:r w:rsidR="00884C0F">
        <w:rPr>
          <w:rFonts w:ascii="Arial" w:hAnsi="Arial" w:cs="Arial"/>
          <w:sz w:val="24"/>
          <w:szCs w:val="24"/>
        </w:rPr>
        <w:t xml:space="preserve">će, ostale materijalne rashode, </w:t>
      </w:r>
      <w:r w:rsidR="0082151C" w:rsidRPr="00884C0F">
        <w:rPr>
          <w:rFonts w:ascii="Arial" w:hAnsi="Arial" w:cs="Arial"/>
          <w:sz w:val="24"/>
          <w:szCs w:val="24"/>
        </w:rPr>
        <w:t xml:space="preserve">naknade za prijevoz </w:t>
      </w:r>
      <w:r w:rsidR="00034902" w:rsidRPr="00884C0F">
        <w:rPr>
          <w:rFonts w:ascii="Arial" w:hAnsi="Arial" w:cs="Arial"/>
          <w:sz w:val="24"/>
          <w:szCs w:val="24"/>
        </w:rPr>
        <w:t xml:space="preserve">djelatnika </w:t>
      </w:r>
      <w:r w:rsidR="0082151C" w:rsidRPr="00884C0F">
        <w:rPr>
          <w:rFonts w:ascii="Arial" w:hAnsi="Arial" w:cs="Arial"/>
          <w:sz w:val="24"/>
          <w:szCs w:val="24"/>
        </w:rPr>
        <w:t xml:space="preserve">na posao i s posla. </w:t>
      </w:r>
    </w:p>
    <w:p w14:paraId="31FA62A6" w14:textId="7737673A" w:rsidR="00415BDF" w:rsidRPr="00884C0F" w:rsidRDefault="0082151C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sz w:val="24"/>
          <w:szCs w:val="24"/>
        </w:rPr>
        <w:t>Rashodi su financirani iz izvora po</w:t>
      </w:r>
      <w:r w:rsidR="00884C0F">
        <w:rPr>
          <w:rFonts w:ascii="Arial" w:hAnsi="Arial" w:cs="Arial"/>
          <w:sz w:val="24"/>
          <w:szCs w:val="24"/>
        </w:rPr>
        <w:t>moći tj. iz državnog proračuna, nemoguće ih je točno planirati zbog povećanja osnovice, koeficijenta, odlazaka u mirovinu, rođenja djece i sl.</w:t>
      </w:r>
    </w:p>
    <w:p w14:paraId="6DA7460E" w14:textId="7153E1CE" w:rsidR="00D87A2E" w:rsidRDefault="008A711F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b/>
          <w:sz w:val="24"/>
          <w:szCs w:val="24"/>
        </w:rPr>
        <w:t xml:space="preserve">Cilj koji je ostvaren provedbom ove aktivnosti : </w:t>
      </w:r>
      <w:r w:rsidRPr="00884C0F">
        <w:rPr>
          <w:rFonts w:ascii="Arial" w:hAnsi="Arial" w:cs="Arial"/>
          <w:sz w:val="24"/>
          <w:szCs w:val="24"/>
        </w:rPr>
        <w:t xml:space="preserve">financiranje rashoda za zaposlene: plaće zaposlenika, isplate regresa, isplate jubilarnih nagrada i pomoći, dar djeci, božićnica,  naknade troškova prijevoza na posao i s posla </w:t>
      </w:r>
    </w:p>
    <w:p w14:paraId="773EEBB8" w14:textId="77777777" w:rsidR="00223732" w:rsidRPr="00252D52" w:rsidRDefault="0022373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784EE" w14:textId="77777777" w:rsidR="00F7279B" w:rsidRPr="00252D52" w:rsidRDefault="00F7279B" w:rsidP="00252D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POSEBNI IZVJ</w:t>
      </w:r>
      <w:r w:rsidR="00E44D3B" w:rsidRPr="00252D52">
        <w:rPr>
          <w:rFonts w:ascii="Arial" w:hAnsi="Arial" w:cs="Arial"/>
          <w:b/>
          <w:sz w:val="24"/>
          <w:szCs w:val="24"/>
        </w:rPr>
        <w:t>E</w:t>
      </w:r>
      <w:r w:rsidRPr="00252D52">
        <w:rPr>
          <w:rFonts w:ascii="Arial" w:hAnsi="Arial" w:cs="Arial"/>
          <w:b/>
          <w:sz w:val="24"/>
          <w:szCs w:val="24"/>
        </w:rPr>
        <w:t xml:space="preserve">ŠTAJI O IZVRŠENJU FINANCIJSKOG PLANA </w:t>
      </w:r>
    </w:p>
    <w:p w14:paraId="19193266" w14:textId="77777777" w:rsidR="002E379E" w:rsidRPr="00252D52" w:rsidRDefault="002E379E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289C85" w14:textId="747CC3B3" w:rsidR="00914D87" w:rsidRPr="00252D52" w:rsidRDefault="00914D87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 xml:space="preserve">IZVJEŠTAJ O ZADUŽIVANJU NA DOMAĆEM I STRANOM TRŽIŠTU NOVCA I KAPITALA ZA RAZDOBLJE OD 01.01. DO </w:t>
      </w:r>
      <w:r w:rsidR="00770197">
        <w:rPr>
          <w:rFonts w:ascii="Arial" w:hAnsi="Arial" w:cs="Arial"/>
          <w:b/>
          <w:sz w:val="24"/>
          <w:szCs w:val="24"/>
        </w:rPr>
        <w:t>30.06.202</w:t>
      </w:r>
      <w:r w:rsidR="00AD21B3">
        <w:rPr>
          <w:rFonts w:ascii="Arial" w:hAnsi="Arial" w:cs="Arial"/>
          <w:b/>
          <w:sz w:val="24"/>
          <w:szCs w:val="24"/>
        </w:rPr>
        <w:t>5</w:t>
      </w:r>
      <w:r w:rsidR="00770197">
        <w:rPr>
          <w:rFonts w:ascii="Arial" w:hAnsi="Arial" w:cs="Arial"/>
          <w:b/>
          <w:sz w:val="24"/>
          <w:szCs w:val="24"/>
        </w:rPr>
        <w:t>.</w:t>
      </w:r>
      <w:r w:rsidRPr="00252D52">
        <w:rPr>
          <w:rFonts w:ascii="Arial" w:hAnsi="Arial" w:cs="Arial"/>
          <w:b/>
          <w:sz w:val="24"/>
          <w:szCs w:val="24"/>
        </w:rPr>
        <w:t>. GODINE</w:t>
      </w:r>
    </w:p>
    <w:p w14:paraId="0E7BDC0A" w14:textId="4C5A5DB2" w:rsidR="00252D52" w:rsidRPr="00252D52" w:rsidRDefault="0035791D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 w:rsidR="00914D87" w:rsidRPr="00252D52">
        <w:rPr>
          <w:rFonts w:ascii="Arial" w:hAnsi="Arial" w:cs="Arial"/>
          <w:sz w:val="24"/>
          <w:szCs w:val="24"/>
        </w:rPr>
        <w:t xml:space="preserve">nije se zaduživala u izvještajnom razdoblju. </w:t>
      </w:r>
      <w:bookmarkStart w:id="0" w:name="_GoBack"/>
      <w:bookmarkEnd w:id="0"/>
    </w:p>
    <w:p w14:paraId="0031EE93" w14:textId="77777777" w:rsidR="00252D52" w:rsidRPr="00252D52" w:rsidRDefault="00252D52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lastRenderedPageBreak/>
        <w:t>IZVJEŠTAJ O KORIŠTENJU SREDSTVA FONDOVA EUROPSKE UNIJE</w:t>
      </w:r>
    </w:p>
    <w:p w14:paraId="1ECBF8AE" w14:textId="43E5DF64" w:rsidR="00252D52" w:rsidRDefault="00252D5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>Osnovna škola Antuna Mihanovića Petropoljskog</w:t>
      </w:r>
      <w:r>
        <w:rPr>
          <w:rFonts w:ascii="Arial" w:hAnsi="Arial" w:cs="Arial"/>
          <w:sz w:val="24"/>
          <w:szCs w:val="24"/>
        </w:rPr>
        <w:t>,</w:t>
      </w:r>
      <w:r w:rsidRPr="00252D52">
        <w:rPr>
          <w:rFonts w:ascii="Arial" w:hAnsi="Arial" w:cs="Arial"/>
          <w:sz w:val="24"/>
          <w:szCs w:val="24"/>
        </w:rPr>
        <w:t xml:space="preserve"> Drniš nije koristila sredstva fondova EU u izvještajnom razdoblju. </w:t>
      </w:r>
    </w:p>
    <w:p w14:paraId="35DD747F" w14:textId="77777777" w:rsidR="00252D52" w:rsidRPr="00252D52" w:rsidRDefault="00252D5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91B12A" w14:textId="6D39544E" w:rsidR="00DF149C" w:rsidRPr="00252D52" w:rsidRDefault="00DF149C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 xml:space="preserve">IZVJEŠTAJ O DANIM </w:t>
      </w:r>
      <w:r w:rsidR="00914D87" w:rsidRPr="00252D52">
        <w:rPr>
          <w:rFonts w:ascii="Arial" w:hAnsi="Arial" w:cs="Arial"/>
          <w:b/>
          <w:sz w:val="24"/>
          <w:szCs w:val="24"/>
        </w:rPr>
        <w:t>ZAJMOVIMA I POTRAŽIVANJIMA PO DANIM ZAJMOVIMA</w:t>
      </w:r>
      <w:r w:rsidRPr="00252D52">
        <w:rPr>
          <w:rFonts w:ascii="Arial" w:hAnsi="Arial" w:cs="Arial"/>
          <w:b/>
          <w:sz w:val="24"/>
          <w:szCs w:val="24"/>
        </w:rPr>
        <w:t xml:space="preserve"> ZA RAZDOBLJE OD 01.01. DO </w:t>
      </w:r>
      <w:r w:rsidR="00770197">
        <w:rPr>
          <w:rFonts w:ascii="Arial" w:hAnsi="Arial" w:cs="Arial"/>
          <w:b/>
          <w:sz w:val="24"/>
          <w:szCs w:val="24"/>
        </w:rPr>
        <w:t>30.06.202</w:t>
      </w:r>
      <w:r w:rsidR="00AD21B3">
        <w:rPr>
          <w:rFonts w:ascii="Arial" w:hAnsi="Arial" w:cs="Arial"/>
          <w:b/>
          <w:sz w:val="24"/>
          <w:szCs w:val="24"/>
        </w:rPr>
        <w:t>5</w:t>
      </w:r>
      <w:r w:rsidR="00770197">
        <w:rPr>
          <w:rFonts w:ascii="Arial" w:hAnsi="Arial" w:cs="Arial"/>
          <w:b/>
          <w:sz w:val="24"/>
          <w:szCs w:val="24"/>
        </w:rPr>
        <w:t>.</w:t>
      </w:r>
      <w:r w:rsidRPr="00252D52">
        <w:rPr>
          <w:rFonts w:ascii="Arial" w:hAnsi="Arial" w:cs="Arial"/>
          <w:b/>
          <w:sz w:val="24"/>
          <w:szCs w:val="24"/>
        </w:rPr>
        <w:t xml:space="preserve">. GODINE </w:t>
      </w:r>
    </w:p>
    <w:p w14:paraId="5F4660B6" w14:textId="49525423" w:rsidR="00DF149C" w:rsidRPr="00EF793E" w:rsidRDefault="0035791D" w:rsidP="00252D5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 w:rsidR="00DF149C" w:rsidRPr="00252D52">
        <w:rPr>
          <w:rFonts w:ascii="Arial" w:hAnsi="Arial" w:cs="Arial"/>
          <w:sz w:val="24"/>
          <w:szCs w:val="24"/>
        </w:rPr>
        <w:t xml:space="preserve">nema </w:t>
      </w:r>
      <w:r w:rsidR="00D84008" w:rsidRPr="00252D52">
        <w:rPr>
          <w:rFonts w:ascii="Arial" w:hAnsi="Arial" w:cs="Arial"/>
          <w:sz w:val="24"/>
          <w:szCs w:val="24"/>
        </w:rPr>
        <w:t>danih zajmova ni potraživanja po danim zajmovima u</w:t>
      </w:r>
      <w:r w:rsidR="00DF149C" w:rsidRPr="00252D52">
        <w:rPr>
          <w:rFonts w:ascii="Arial" w:hAnsi="Arial" w:cs="Arial"/>
          <w:sz w:val="24"/>
          <w:szCs w:val="24"/>
        </w:rPr>
        <w:t xml:space="preserve"> izvještajnom razdoblju</w:t>
      </w:r>
      <w:r w:rsidR="00DF149C" w:rsidRPr="00EF793E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29F918C2" w14:textId="77777777" w:rsidR="00D84008" w:rsidRPr="00EF793E" w:rsidRDefault="00D84008" w:rsidP="00252D52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5437A0DE" w14:textId="77777777" w:rsidR="00D84008" w:rsidRPr="00252D52" w:rsidRDefault="00D84008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IZVJEŠTAJ O STANJU POTRAŽIVANJA I DOSPJELIH OBVEZA TE O STANJU POTENCIJALNIH OBVEZA PO OSNOVI SUDSKIH SPOROVA</w:t>
      </w:r>
    </w:p>
    <w:p w14:paraId="669C5680" w14:textId="47A0F243" w:rsidR="00DD2BF5" w:rsidRDefault="0035791D" w:rsidP="00770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>Osnovna škola Antuna Mihanovića Petropoljskog Drniš ima</w:t>
      </w:r>
      <w:r w:rsidR="00223732">
        <w:rPr>
          <w:rFonts w:ascii="Arial" w:hAnsi="Arial" w:cs="Arial"/>
          <w:sz w:val="24"/>
          <w:szCs w:val="24"/>
        </w:rPr>
        <w:t>la je</w:t>
      </w:r>
      <w:r w:rsidRPr="00252D52">
        <w:rPr>
          <w:rFonts w:ascii="Arial" w:hAnsi="Arial" w:cs="Arial"/>
          <w:sz w:val="24"/>
          <w:szCs w:val="24"/>
        </w:rPr>
        <w:t xml:space="preserve"> obveze</w:t>
      </w:r>
      <w:r w:rsidR="00D84008" w:rsidRPr="00252D52">
        <w:rPr>
          <w:rFonts w:ascii="Arial" w:hAnsi="Arial" w:cs="Arial"/>
          <w:sz w:val="24"/>
          <w:szCs w:val="24"/>
        </w:rPr>
        <w:t xml:space="preserve"> po sudskim spor</w:t>
      </w:r>
      <w:r w:rsidRPr="00252D52">
        <w:rPr>
          <w:rFonts w:ascii="Arial" w:hAnsi="Arial" w:cs="Arial"/>
          <w:sz w:val="24"/>
          <w:szCs w:val="24"/>
        </w:rPr>
        <w:t xml:space="preserve">ovima u izvještajnom razdoblju te se isti odnose na tužbe zaposlenika radi ostvarivanja kolektivnim ugovorima zajamčenih prava zaposlenika javnih službi. </w:t>
      </w:r>
      <w:r w:rsidR="00482326">
        <w:rPr>
          <w:rFonts w:ascii="Arial" w:hAnsi="Arial" w:cs="Arial"/>
          <w:sz w:val="24"/>
          <w:szCs w:val="24"/>
        </w:rPr>
        <w:t>S</w:t>
      </w:r>
      <w:r w:rsidR="00AB29FB" w:rsidRPr="00770197">
        <w:rPr>
          <w:rFonts w:ascii="Arial" w:hAnsi="Arial" w:cs="Arial"/>
          <w:sz w:val="24"/>
          <w:szCs w:val="24"/>
        </w:rPr>
        <w:t xml:space="preserve">tanje obveza po osnovi sudskih sporova proračunskog korisnika na </w:t>
      </w:r>
      <w:r w:rsidR="00482326">
        <w:rPr>
          <w:rFonts w:ascii="Arial" w:hAnsi="Arial" w:cs="Arial"/>
          <w:sz w:val="24"/>
          <w:szCs w:val="24"/>
        </w:rPr>
        <w:t>30.06.202</w:t>
      </w:r>
      <w:r w:rsidR="00AD21B3">
        <w:rPr>
          <w:rFonts w:ascii="Arial" w:hAnsi="Arial" w:cs="Arial"/>
          <w:sz w:val="24"/>
          <w:szCs w:val="24"/>
        </w:rPr>
        <w:t>5</w:t>
      </w:r>
      <w:r w:rsidR="00482326">
        <w:rPr>
          <w:rFonts w:ascii="Arial" w:hAnsi="Arial" w:cs="Arial"/>
          <w:sz w:val="24"/>
          <w:szCs w:val="24"/>
        </w:rPr>
        <w:t xml:space="preserve">., </w:t>
      </w:r>
      <w:r w:rsidR="00AB29FB" w:rsidRPr="00770197">
        <w:rPr>
          <w:rFonts w:ascii="Arial" w:hAnsi="Arial" w:cs="Arial"/>
          <w:sz w:val="24"/>
          <w:szCs w:val="24"/>
        </w:rPr>
        <w:t>a što je detaljno vidljivo i u posebnom dijelu izvještaja po programskoj klasifikaciji, iznos</w:t>
      </w:r>
      <w:r w:rsidR="00482326">
        <w:rPr>
          <w:rFonts w:ascii="Arial" w:hAnsi="Arial" w:cs="Arial"/>
          <w:sz w:val="24"/>
          <w:szCs w:val="24"/>
        </w:rPr>
        <w:t>i 1</w:t>
      </w:r>
      <w:r w:rsidR="00A43E29">
        <w:rPr>
          <w:rFonts w:ascii="Arial" w:hAnsi="Arial" w:cs="Arial"/>
          <w:sz w:val="24"/>
          <w:szCs w:val="24"/>
        </w:rPr>
        <w:t>.526,86</w:t>
      </w:r>
      <w:r w:rsidR="00AB29FB" w:rsidRPr="00770197">
        <w:rPr>
          <w:rFonts w:ascii="Arial" w:hAnsi="Arial" w:cs="Arial"/>
          <w:sz w:val="24"/>
          <w:szCs w:val="24"/>
        </w:rPr>
        <w:t xml:space="preserve"> eur, a kao što je ranije spomenuto navedeni rashodi odnose se na isplatu plaća za sudske tužbe iz izvora 52. (</w:t>
      </w:r>
      <w:r w:rsidR="00482326">
        <w:rPr>
          <w:rFonts w:ascii="Arial" w:hAnsi="Arial" w:cs="Arial"/>
          <w:sz w:val="24"/>
          <w:szCs w:val="24"/>
        </w:rPr>
        <w:t>1</w:t>
      </w:r>
      <w:r w:rsidR="00AB29FB" w:rsidRPr="00770197">
        <w:rPr>
          <w:rFonts w:ascii="Arial" w:hAnsi="Arial" w:cs="Arial"/>
          <w:sz w:val="24"/>
          <w:szCs w:val="24"/>
        </w:rPr>
        <w:t xml:space="preserve"> sudskih spor završen i isplaćen</w:t>
      </w:r>
      <w:r w:rsidR="00482326">
        <w:rPr>
          <w:rFonts w:ascii="Arial" w:hAnsi="Arial" w:cs="Arial"/>
          <w:sz w:val="24"/>
          <w:szCs w:val="24"/>
        </w:rPr>
        <w:t xml:space="preserve"> do 30.06.202</w:t>
      </w:r>
      <w:r w:rsidR="00AD21B3">
        <w:rPr>
          <w:rFonts w:ascii="Arial" w:hAnsi="Arial" w:cs="Arial"/>
          <w:sz w:val="24"/>
          <w:szCs w:val="24"/>
        </w:rPr>
        <w:t>5</w:t>
      </w:r>
      <w:r w:rsidR="00482326">
        <w:rPr>
          <w:rFonts w:ascii="Arial" w:hAnsi="Arial" w:cs="Arial"/>
          <w:sz w:val="24"/>
          <w:szCs w:val="24"/>
        </w:rPr>
        <w:t>.</w:t>
      </w:r>
      <w:r w:rsidR="00AB29FB" w:rsidRPr="00770197">
        <w:rPr>
          <w:rFonts w:ascii="Arial" w:hAnsi="Arial" w:cs="Arial"/>
          <w:sz w:val="24"/>
          <w:szCs w:val="24"/>
        </w:rPr>
        <w:t>)</w:t>
      </w:r>
      <w:r w:rsidR="003C5923">
        <w:rPr>
          <w:rFonts w:ascii="Arial" w:hAnsi="Arial" w:cs="Arial"/>
          <w:sz w:val="24"/>
          <w:szCs w:val="24"/>
        </w:rPr>
        <w:t>. U budućem razdoblju ne očekujemo dodatne isplate sudskih sporova.</w:t>
      </w:r>
    </w:p>
    <w:p w14:paraId="78DBEEBB" w14:textId="77777777" w:rsidR="003D6C09" w:rsidRDefault="003D6C09" w:rsidP="003D6C0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20A7">
        <w:rPr>
          <w:rFonts w:ascii="Arial" w:hAnsi="Arial" w:cs="Arial"/>
          <w:b/>
          <w:sz w:val="24"/>
          <w:szCs w:val="24"/>
        </w:rPr>
        <w:t>IZVJEŠTAJ O DANIM JAMSTVIMA I PLAĆANJIMA PO PROTESTIRANIM JAMSTVIMA</w:t>
      </w:r>
    </w:p>
    <w:p w14:paraId="2862777E" w14:textId="74E86CD9" w:rsidR="003D6C09" w:rsidRPr="006A20A7" w:rsidRDefault="003D6C09" w:rsidP="003D6C09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>
        <w:rPr>
          <w:rFonts w:ascii="Arial" w:hAnsi="Arial" w:cs="Arial"/>
          <w:sz w:val="24"/>
          <w:szCs w:val="24"/>
        </w:rPr>
        <w:t xml:space="preserve">u </w:t>
      </w:r>
      <w:r w:rsidRPr="00252D52">
        <w:rPr>
          <w:rFonts w:ascii="Arial" w:hAnsi="Arial" w:cs="Arial"/>
          <w:sz w:val="24"/>
          <w:szCs w:val="24"/>
        </w:rPr>
        <w:t>izvještajnom razdoblju</w:t>
      </w:r>
      <w:r>
        <w:rPr>
          <w:rFonts w:ascii="Arial" w:hAnsi="Arial" w:cs="Arial"/>
          <w:sz w:val="24"/>
          <w:szCs w:val="24"/>
        </w:rPr>
        <w:t xml:space="preserve"> nije imala danih jamstava kao ni plaćanja po protestiranim jamstvima.</w:t>
      </w:r>
    </w:p>
    <w:p w14:paraId="648EE47A" w14:textId="77777777" w:rsidR="003D6C09" w:rsidRPr="00252D52" w:rsidRDefault="003D6C09" w:rsidP="003D6C0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E01601" w14:textId="77777777" w:rsidR="003D6C09" w:rsidRPr="00EF793E" w:rsidRDefault="003D6C09" w:rsidP="003D6C09">
      <w:pPr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047AC019" w14:textId="77777777" w:rsidR="003D6C09" w:rsidRPr="00770197" w:rsidRDefault="003D6C09" w:rsidP="007701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F4FEF" w14:textId="77777777" w:rsidR="00DD2BF5" w:rsidRPr="00EF793E" w:rsidRDefault="00DD2BF5" w:rsidP="002819B3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</w:p>
    <w:sectPr w:rsidR="00DD2BF5" w:rsidRPr="00EF793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9A60" w14:textId="77777777" w:rsidR="00CD2FC7" w:rsidRDefault="00CD2FC7" w:rsidP="005B634B">
      <w:pPr>
        <w:spacing w:after="0" w:line="240" w:lineRule="auto"/>
      </w:pPr>
      <w:r>
        <w:separator/>
      </w:r>
    </w:p>
  </w:endnote>
  <w:endnote w:type="continuationSeparator" w:id="0">
    <w:p w14:paraId="7DC55AB0" w14:textId="77777777" w:rsidR="00CD2FC7" w:rsidRDefault="00CD2FC7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1E39C96B" w:rsidR="005B634B" w:rsidRDefault="005B6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C0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FDB2" w14:textId="77777777" w:rsidR="00CD2FC7" w:rsidRDefault="00CD2FC7" w:rsidP="005B634B">
      <w:pPr>
        <w:spacing w:after="0" w:line="240" w:lineRule="auto"/>
      </w:pPr>
      <w:r>
        <w:separator/>
      </w:r>
    </w:p>
  </w:footnote>
  <w:footnote w:type="continuationSeparator" w:id="0">
    <w:p w14:paraId="32465C74" w14:textId="77777777" w:rsidR="00CD2FC7" w:rsidRDefault="00CD2FC7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22242D8"/>
    <w:multiLevelType w:val="hybridMultilevel"/>
    <w:tmpl w:val="3376B5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13A"/>
    <w:multiLevelType w:val="hybridMultilevel"/>
    <w:tmpl w:val="802A4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4497"/>
    <w:multiLevelType w:val="hybridMultilevel"/>
    <w:tmpl w:val="3EF6E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35C4"/>
    <w:multiLevelType w:val="hybridMultilevel"/>
    <w:tmpl w:val="0C6A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697D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7EE"/>
    <w:multiLevelType w:val="hybridMultilevel"/>
    <w:tmpl w:val="C038DCE2"/>
    <w:lvl w:ilvl="0" w:tplc="74E01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782D"/>
    <w:multiLevelType w:val="hybridMultilevel"/>
    <w:tmpl w:val="2D44F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714D"/>
    <w:multiLevelType w:val="hybridMultilevel"/>
    <w:tmpl w:val="B3988104"/>
    <w:lvl w:ilvl="0" w:tplc="5D307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9691FE1"/>
    <w:multiLevelType w:val="hybridMultilevel"/>
    <w:tmpl w:val="5D867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A6FC6"/>
    <w:multiLevelType w:val="hybridMultilevel"/>
    <w:tmpl w:val="C2408836"/>
    <w:lvl w:ilvl="0" w:tplc="041A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484DFC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D4A7A4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08359E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8F33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824C9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44F74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0C18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5AF24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143110"/>
    <w:multiLevelType w:val="hybridMultilevel"/>
    <w:tmpl w:val="4A7E3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4040"/>
    <w:multiLevelType w:val="hybridMultilevel"/>
    <w:tmpl w:val="3C005A8C"/>
    <w:lvl w:ilvl="0" w:tplc="73248DEC">
      <w:start w:val="4"/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08"/>
    <w:rsid w:val="000053E4"/>
    <w:rsid w:val="000056B9"/>
    <w:rsid w:val="0000668A"/>
    <w:rsid w:val="00032956"/>
    <w:rsid w:val="00034902"/>
    <w:rsid w:val="000361E2"/>
    <w:rsid w:val="0004358E"/>
    <w:rsid w:val="000567AA"/>
    <w:rsid w:val="00062606"/>
    <w:rsid w:val="000630E7"/>
    <w:rsid w:val="00081FB9"/>
    <w:rsid w:val="000857E8"/>
    <w:rsid w:val="000D58BD"/>
    <w:rsid w:val="000F2D81"/>
    <w:rsid w:val="000F3429"/>
    <w:rsid w:val="00105BAA"/>
    <w:rsid w:val="00113BE7"/>
    <w:rsid w:val="00116A90"/>
    <w:rsid w:val="001239CA"/>
    <w:rsid w:val="00126006"/>
    <w:rsid w:val="00130439"/>
    <w:rsid w:val="001425E2"/>
    <w:rsid w:val="0016389F"/>
    <w:rsid w:val="00175B7A"/>
    <w:rsid w:val="00175DB9"/>
    <w:rsid w:val="00181E7A"/>
    <w:rsid w:val="001874B9"/>
    <w:rsid w:val="001900B1"/>
    <w:rsid w:val="00190BB8"/>
    <w:rsid w:val="0019165C"/>
    <w:rsid w:val="001A266F"/>
    <w:rsid w:val="001A6E1E"/>
    <w:rsid w:val="001A75BE"/>
    <w:rsid w:val="001A7AD1"/>
    <w:rsid w:val="001B0E07"/>
    <w:rsid w:val="001B4BC4"/>
    <w:rsid w:val="001E17F2"/>
    <w:rsid w:val="00202004"/>
    <w:rsid w:val="00203B38"/>
    <w:rsid w:val="002143A1"/>
    <w:rsid w:val="00223732"/>
    <w:rsid w:val="0022484E"/>
    <w:rsid w:val="002279B4"/>
    <w:rsid w:val="00241520"/>
    <w:rsid w:val="00250E86"/>
    <w:rsid w:val="00252D52"/>
    <w:rsid w:val="00277BFB"/>
    <w:rsid w:val="002801EF"/>
    <w:rsid w:val="00281182"/>
    <w:rsid w:val="002819B3"/>
    <w:rsid w:val="00283B6A"/>
    <w:rsid w:val="002A06EF"/>
    <w:rsid w:val="002B7A36"/>
    <w:rsid w:val="002C40A1"/>
    <w:rsid w:val="002C5FC9"/>
    <w:rsid w:val="002E379E"/>
    <w:rsid w:val="0030116D"/>
    <w:rsid w:val="00310EDA"/>
    <w:rsid w:val="003311F2"/>
    <w:rsid w:val="00335566"/>
    <w:rsid w:val="00336EAD"/>
    <w:rsid w:val="00354BC8"/>
    <w:rsid w:val="0035791D"/>
    <w:rsid w:val="00361AA7"/>
    <w:rsid w:val="00365167"/>
    <w:rsid w:val="00365282"/>
    <w:rsid w:val="00381831"/>
    <w:rsid w:val="00381CCA"/>
    <w:rsid w:val="003835C6"/>
    <w:rsid w:val="00395C2C"/>
    <w:rsid w:val="003A2F26"/>
    <w:rsid w:val="003B1925"/>
    <w:rsid w:val="003C4C7A"/>
    <w:rsid w:val="003C5923"/>
    <w:rsid w:val="003D6C09"/>
    <w:rsid w:val="003D6FA9"/>
    <w:rsid w:val="00400241"/>
    <w:rsid w:val="0040282D"/>
    <w:rsid w:val="00405089"/>
    <w:rsid w:val="004103CB"/>
    <w:rsid w:val="00412191"/>
    <w:rsid w:val="00415BDF"/>
    <w:rsid w:val="00424F78"/>
    <w:rsid w:val="0042690F"/>
    <w:rsid w:val="00426F4E"/>
    <w:rsid w:val="00432585"/>
    <w:rsid w:val="0043699D"/>
    <w:rsid w:val="004414D1"/>
    <w:rsid w:val="0047319F"/>
    <w:rsid w:val="00482326"/>
    <w:rsid w:val="004B2A08"/>
    <w:rsid w:val="004C17A6"/>
    <w:rsid w:val="004C5F00"/>
    <w:rsid w:val="004C7F13"/>
    <w:rsid w:val="004D5259"/>
    <w:rsid w:val="004D690F"/>
    <w:rsid w:val="004D7FBF"/>
    <w:rsid w:val="00500C47"/>
    <w:rsid w:val="005016C2"/>
    <w:rsid w:val="00505C52"/>
    <w:rsid w:val="005076E6"/>
    <w:rsid w:val="00512DB2"/>
    <w:rsid w:val="005142DA"/>
    <w:rsid w:val="0051440B"/>
    <w:rsid w:val="0051766E"/>
    <w:rsid w:val="00526E56"/>
    <w:rsid w:val="00527C5A"/>
    <w:rsid w:val="0053616A"/>
    <w:rsid w:val="00546D5F"/>
    <w:rsid w:val="00547F02"/>
    <w:rsid w:val="00550DD7"/>
    <w:rsid w:val="0055548D"/>
    <w:rsid w:val="005643F1"/>
    <w:rsid w:val="00580083"/>
    <w:rsid w:val="005802B6"/>
    <w:rsid w:val="00584321"/>
    <w:rsid w:val="00584D48"/>
    <w:rsid w:val="00593905"/>
    <w:rsid w:val="005A2C5E"/>
    <w:rsid w:val="005B634B"/>
    <w:rsid w:val="005B76CB"/>
    <w:rsid w:val="005B7903"/>
    <w:rsid w:val="005D1105"/>
    <w:rsid w:val="005D5BC6"/>
    <w:rsid w:val="005E11CE"/>
    <w:rsid w:val="005E5751"/>
    <w:rsid w:val="005F292D"/>
    <w:rsid w:val="00600FBD"/>
    <w:rsid w:val="00602635"/>
    <w:rsid w:val="00615F72"/>
    <w:rsid w:val="006254E2"/>
    <w:rsid w:val="00640315"/>
    <w:rsid w:val="00645F7B"/>
    <w:rsid w:val="0065345A"/>
    <w:rsid w:val="006612ED"/>
    <w:rsid w:val="006712C6"/>
    <w:rsid w:val="00676FB3"/>
    <w:rsid w:val="00677B56"/>
    <w:rsid w:val="00682AD9"/>
    <w:rsid w:val="006844F7"/>
    <w:rsid w:val="006A7CA4"/>
    <w:rsid w:val="006B6F6A"/>
    <w:rsid w:val="006C57DA"/>
    <w:rsid w:val="006C586A"/>
    <w:rsid w:val="006C64CA"/>
    <w:rsid w:val="006D3755"/>
    <w:rsid w:val="006D61B5"/>
    <w:rsid w:val="006F227A"/>
    <w:rsid w:val="006F74E8"/>
    <w:rsid w:val="0070053C"/>
    <w:rsid w:val="00700AA7"/>
    <w:rsid w:val="00700D0C"/>
    <w:rsid w:val="00701CC7"/>
    <w:rsid w:val="00701EC9"/>
    <w:rsid w:val="007043A9"/>
    <w:rsid w:val="00704530"/>
    <w:rsid w:val="00715D55"/>
    <w:rsid w:val="007203AE"/>
    <w:rsid w:val="00725DDA"/>
    <w:rsid w:val="007577C4"/>
    <w:rsid w:val="0076452B"/>
    <w:rsid w:val="00764F00"/>
    <w:rsid w:val="00770197"/>
    <w:rsid w:val="00780D26"/>
    <w:rsid w:val="00782430"/>
    <w:rsid w:val="007863A6"/>
    <w:rsid w:val="00795AB2"/>
    <w:rsid w:val="007A599B"/>
    <w:rsid w:val="007D4F01"/>
    <w:rsid w:val="007E347B"/>
    <w:rsid w:val="007E35CC"/>
    <w:rsid w:val="007F6B03"/>
    <w:rsid w:val="00812EDE"/>
    <w:rsid w:val="0082151C"/>
    <w:rsid w:val="00827D5D"/>
    <w:rsid w:val="00831EB4"/>
    <w:rsid w:val="00832A8C"/>
    <w:rsid w:val="008436CD"/>
    <w:rsid w:val="00850EC0"/>
    <w:rsid w:val="008512B5"/>
    <w:rsid w:val="00851B4B"/>
    <w:rsid w:val="0085727A"/>
    <w:rsid w:val="00866354"/>
    <w:rsid w:val="008768F7"/>
    <w:rsid w:val="00884C0F"/>
    <w:rsid w:val="0089229F"/>
    <w:rsid w:val="008A0D6D"/>
    <w:rsid w:val="008A6751"/>
    <w:rsid w:val="008A711F"/>
    <w:rsid w:val="008D2D89"/>
    <w:rsid w:val="008D6DBD"/>
    <w:rsid w:val="008D7855"/>
    <w:rsid w:val="008E6AF9"/>
    <w:rsid w:val="0091288D"/>
    <w:rsid w:val="0091337F"/>
    <w:rsid w:val="00914D87"/>
    <w:rsid w:val="00924108"/>
    <w:rsid w:val="00924B5F"/>
    <w:rsid w:val="00930FE8"/>
    <w:rsid w:val="0093223E"/>
    <w:rsid w:val="009329D8"/>
    <w:rsid w:val="0093540B"/>
    <w:rsid w:val="009447A3"/>
    <w:rsid w:val="009467D4"/>
    <w:rsid w:val="00951D1C"/>
    <w:rsid w:val="00963B05"/>
    <w:rsid w:val="00977D7D"/>
    <w:rsid w:val="0098357D"/>
    <w:rsid w:val="0098464A"/>
    <w:rsid w:val="009A00C6"/>
    <w:rsid w:val="009A6F92"/>
    <w:rsid w:val="009A76AB"/>
    <w:rsid w:val="009B3DA1"/>
    <w:rsid w:val="009B7A08"/>
    <w:rsid w:val="009C0988"/>
    <w:rsid w:val="009C36E2"/>
    <w:rsid w:val="009D1C2A"/>
    <w:rsid w:val="00A1387E"/>
    <w:rsid w:val="00A21D49"/>
    <w:rsid w:val="00A224A4"/>
    <w:rsid w:val="00A3467D"/>
    <w:rsid w:val="00A42BD4"/>
    <w:rsid w:val="00A43E29"/>
    <w:rsid w:val="00A73551"/>
    <w:rsid w:val="00A8013F"/>
    <w:rsid w:val="00A8060F"/>
    <w:rsid w:val="00AA16EB"/>
    <w:rsid w:val="00AB29FB"/>
    <w:rsid w:val="00AB5457"/>
    <w:rsid w:val="00AD0D01"/>
    <w:rsid w:val="00AD21B3"/>
    <w:rsid w:val="00AD4667"/>
    <w:rsid w:val="00AD718C"/>
    <w:rsid w:val="00AF1AE8"/>
    <w:rsid w:val="00B13C21"/>
    <w:rsid w:val="00B15F00"/>
    <w:rsid w:val="00B56889"/>
    <w:rsid w:val="00B66975"/>
    <w:rsid w:val="00B71584"/>
    <w:rsid w:val="00B81610"/>
    <w:rsid w:val="00BA1AB9"/>
    <w:rsid w:val="00BB173B"/>
    <w:rsid w:val="00BB1C4C"/>
    <w:rsid w:val="00BC55ED"/>
    <w:rsid w:val="00BD76CA"/>
    <w:rsid w:val="00BF775A"/>
    <w:rsid w:val="00C0070D"/>
    <w:rsid w:val="00C116A0"/>
    <w:rsid w:val="00C141F0"/>
    <w:rsid w:val="00C231F8"/>
    <w:rsid w:val="00C444B3"/>
    <w:rsid w:val="00C4618E"/>
    <w:rsid w:val="00C534AC"/>
    <w:rsid w:val="00C617A5"/>
    <w:rsid w:val="00C66B0E"/>
    <w:rsid w:val="00C71212"/>
    <w:rsid w:val="00C72744"/>
    <w:rsid w:val="00C72E36"/>
    <w:rsid w:val="00CA67D9"/>
    <w:rsid w:val="00CB2724"/>
    <w:rsid w:val="00CB5E46"/>
    <w:rsid w:val="00CC683E"/>
    <w:rsid w:val="00CD2FC7"/>
    <w:rsid w:val="00CE26E0"/>
    <w:rsid w:val="00CF79EB"/>
    <w:rsid w:val="00D14778"/>
    <w:rsid w:val="00D31286"/>
    <w:rsid w:val="00D31BED"/>
    <w:rsid w:val="00D43305"/>
    <w:rsid w:val="00D513CC"/>
    <w:rsid w:val="00D55DCE"/>
    <w:rsid w:val="00D72E27"/>
    <w:rsid w:val="00D73DAB"/>
    <w:rsid w:val="00D84008"/>
    <w:rsid w:val="00D87A2E"/>
    <w:rsid w:val="00DB12CD"/>
    <w:rsid w:val="00DB7B04"/>
    <w:rsid w:val="00DC33C1"/>
    <w:rsid w:val="00DC3FDD"/>
    <w:rsid w:val="00DC6258"/>
    <w:rsid w:val="00DC6478"/>
    <w:rsid w:val="00DD2BF5"/>
    <w:rsid w:val="00DE1122"/>
    <w:rsid w:val="00DE371C"/>
    <w:rsid w:val="00DF149C"/>
    <w:rsid w:val="00DF1E6C"/>
    <w:rsid w:val="00E10F98"/>
    <w:rsid w:val="00E12A7D"/>
    <w:rsid w:val="00E1523C"/>
    <w:rsid w:val="00E17B9C"/>
    <w:rsid w:val="00E201CA"/>
    <w:rsid w:val="00E3050E"/>
    <w:rsid w:val="00E318FF"/>
    <w:rsid w:val="00E3376A"/>
    <w:rsid w:val="00E346C6"/>
    <w:rsid w:val="00E44D3B"/>
    <w:rsid w:val="00E56AF8"/>
    <w:rsid w:val="00E66002"/>
    <w:rsid w:val="00E716DA"/>
    <w:rsid w:val="00E75C7E"/>
    <w:rsid w:val="00E827D8"/>
    <w:rsid w:val="00EA6C7C"/>
    <w:rsid w:val="00EA6D49"/>
    <w:rsid w:val="00EC662D"/>
    <w:rsid w:val="00ED04E3"/>
    <w:rsid w:val="00EF793E"/>
    <w:rsid w:val="00F00C26"/>
    <w:rsid w:val="00F10A27"/>
    <w:rsid w:val="00F11BFA"/>
    <w:rsid w:val="00F36F13"/>
    <w:rsid w:val="00F433E6"/>
    <w:rsid w:val="00F46E90"/>
    <w:rsid w:val="00F47A15"/>
    <w:rsid w:val="00F60BA1"/>
    <w:rsid w:val="00F659B9"/>
    <w:rsid w:val="00F7279B"/>
    <w:rsid w:val="00F749E5"/>
    <w:rsid w:val="00FA3FAA"/>
    <w:rsid w:val="00FA73A1"/>
    <w:rsid w:val="00FB0D05"/>
    <w:rsid w:val="00FC2323"/>
    <w:rsid w:val="00FD43BE"/>
    <w:rsid w:val="00FE4588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TableGrid">
    <w:name w:val="Table Grid"/>
    <w:basedOn w:val="TableNormal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10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4B"/>
  </w:style>
  <w:style w:type="paragraph" w:styleId="Footer">
    <w:name w:val="footer"/>
    <w:basedOn w:val="Normal"/>
    <w:link w:val="Footer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76D7-0B5D-4503-B55A-4F523F5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15</Pages>
  <Words>3116</Words>
  <Characters>17767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90</cp:revision>
  <cp:lastPrinted>2023-07-25T07:55:00Z</cp:lastPrinted>
  <dcterms:created xsi:type="dcterms:W3CDTF">2023-07-25T07:30:00Z</dcterms:created>
  <dcterms:modified xsi:type="dcterms:W3CDTF">2025-07-21T11:06:00Z</dcterms:modified>
</cp:coreProperties>
</file>