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19671d0c50d42bf" /></Relationships>
</file>

<file path=word/document.xml><?xml version="1.0" encoding="utf-8"?>
<w:document xmlns:w="http://schemas.openxmlformats.org/wordprocessingml/2006/main">
  <w:body>
    <w:tbl>
      <w:tblPr>
        <w:tblW w:w="9000" w:type="dxa"/>
        <w:tblBorders>
          <w:top w:val="nil"/>
          <w:bottom w:val="nil"/>
          <w:left w:val="nil"/>
          <w:right w:val="nil"/>
          <w:insideH w:val="nil"/>
          <w:insideV w:val="nil"/>
        </w:tblBorders>
        <w:tblCellSpacing w:w="60" w:type="dxa"/>
        <w:shd w:val="clear" w:color="auto" w:fill="E7F0F9"/>
      </w:tblPr>
      <w:tblGrid>
        <w:gridCol w:w="1200"/>
        <w:gridCol w:w="4500"/>
      </w:tblGrid>
      <w:tr>
        <w:tc>
          <w:tcPr>
            <w:tcW w:w="1200" w:type="pct"/>
            <w:shd w:val="clear" w:color="auto" w:fill="E7F0F9"/>
          </w:tcPr>
          <w:p>
            <w:pPr>
              <w:spacing w:before="0" w:after="0" w:line="240" w:lineRule="auto"/>
              <w:jc w:val="left"/>
            </w:pPr>
            <w:r>
              <w:rPr>
                <w:b/>
              </w:rPr>
              <w:t xml:space="preserve">RKP broj</w:t>
            </w:r>
          </w:p>
        </w:tc>
        <w:tc>
          <w:tcPr>
            <w:shd w:val="clear" w:color="auto" w:fill="E7F0F9"/>
          </w:tcPr>
          <w:p>
            <w:pPr>
              <w:spacing w:before="0" w:after="0" w:line="240" w:lineRule="auto"/>
              <w:jc w:val="left"/>
            </w:pPr>
            <w:r>
              <w:t xml:space="preserve">11871</w:t>
            </w:r>
          </w:p>
        </w:tc>
      </w:tr>
      <w:tr>
        <w:tc>
          <w:tcPr>
            <w:tcW w:w="1200" w:type="pct"/>
            <w:shd w:val="clear" w:color="auto" w:fill="E7F0F9"/>
          </w:tcPr>
          <w:p>
            <w:pPr>
              <w:spacing w:before="0" w:after="0" w:line="240" w:lineRule="auto"/>
              <w:jc w:val="left"/>
            </w:pPr>
            <w:r>
              <w:rPr>
                <w:b/>
              </w:rPr>
              <w:t xml:space="preserve">Naziv obveznika</w:t>
            </w:r>
          </w:p>
        </w:tc>
        <w:tc>
          <w:tcPr>
            <w:shd w:val="clear" w:color="auto" w:fill="E7F0F9"/>
          </w:tcPr>
          <w:p>
            <w:pPr>
              <w:spacing w:before="0" w:after="0" w:line="240" w:lineRule="auto"/>
              <w:jc w:val="left"/>
            </w:pPr>
            <w:r>
              <w:t xml:space="preserve">OSNOVNA ŠKOLA ANTUNA MIHANOVIĆA PETROPOLJSKOG</w:t>
            </w:r>
          </w:p>
        </w:tc>
      </w:tr>
      <w:tr>
        <w:tc>
          <w:tcPr>
            <w:tcW w:w="1200" w:type="pct"/>
            <w:shd w:val="clear" w:color="auto" w:fill="E7F0F9"/>
          </w:tcPr>
          <w:p>
            <w:pPr>
              <w:spacing w:before="0" w:after="0" w:line="240" w:lineRule="auto"/>
              <w:jc w:val="left"/>
            </w:pPr>
            <w:r>
              <w:rPr>
                <w:b/>
              </w:rPr>
              <w:t xml:space="preserve">Razina</w:t>
            </w:r>
          </w:p>
        </w:tc>
        <w:tc>
          <w:tcPr>
            <w:shd w:val="clear" w:color="auto" w:fill="E7F0F9"/>
          </w:tcPr>
          <w:p>
            <w:pPr>
              <w:spacing w:before="0" w:after="0" w:line="240" w:lineRule="auto"/>
              <w:jc w:val="left"/>
            </w:pPr>
            <w:r>
              <w:t xml:space="preserve">31</w:t>
            </w:r>
          </w:p>
        </w:tc>
      </w:tr>
    </w:tbl>
    <w:p>
      <w:r>
        <w:br/>
      </w:r>
    </w:p>
    <w:p>
      <w:pPr>
        <w:jc w:val="center"/>
        <w:pStyle w:val="Normal"/>
        <w:spacing w:line="240" w:lineRule="auto"/>
      </w:pPr>
      <w:r>
        <w:rPr>
          <w:b/>
          <w:sz w:val="28"/>
          <w:rFonts w:ascii="Times New Roman" w:hAnsi="Times New Roman"/>
        </w:rPr>
        <w:t>BILJEŠKE UZ FINANCIJSKE IZVJEŠTAJE</w:t>
      </w:r>
    </w:p>
    <w:p>
      <w:pPr>
        <w:jc w:val="center"/>
        <w:pStyle w:val="Normal"/>
        <w:spacing w:line="240" w:lineRule="auto"/>
      </w:pPr>
      <w:r>
        <w:rPr>
          <w:b/>
          <w:sz w:val="28"/>
          <w:rFonts w:ascii="Times New Roman" w:hAnsi="Times New Roman"/>
        </w:rPr>
        <w:t>ZA RAZDOBLJE</w:t>
      </w:r>
    </w:p>
    <w:p>
      <w:pPr>
        <w:jc w:val="center"/>
        <w:pStyle w:val="Normal"/>
        <w:spacing w:line="240" w:lineRule="auto"/>
      </w:pPr>
      <w:r>
        <w:rPr>
          <w:b/>
          <w:sz w:val="28"/>
          <w:rFonts w:ascii="Times New Roman" w:hAnsi="Times New Roman"/>
        </w:rPr>
        <w:t>I - VI 2025.</w:t>
      </w:r>
    </w:p>
    <w:p/>
    <w:p>
      <w:pPr>
        <w:jc w:val="center"/>
        <w:pStyle w:val="Normal"/>
        <w:spacing w:line="240" w:lineRule="auto"/>
        <w:keepNext/>
      </w:pPr>
      <w:r>
        <w:rPr>
          <w:b/>
          <w:sz w:val="28"/>
          <w:rFonts w:ascii="Times New Roman" w:hAnsi="Times New Roman"/>
        </w:rPr>
        <w:t>Izvještaj o prihodima i rashodima, primicima i izdacima</w:t>
      </w:r>
    </w:p>
    <w:p>
      <w:pPr>
        <w:jc w:val="center"/>
        <w:pStyle w:val="Normal"/>
        <w:spacing w:line="240" w:lineRule="auto"/>
        <w:keepNext/>
      </w:pPr>
      <w:r>
        <w:rPr>
          <w:sz w:val="28"/>
          <w:rFonts w:ascii="Times New Roman" w:hAnsi="Times New Roman"/>
        </w:rPr>
        <w:t>Bilješka 1.</w:t>
      </w:r>
    </w:p>
    <w:tbl>
      <w:tblPr>
        <w:tblBorders>
          <w:top w:val="single" w:color="BABABA" w:sz="12"/>
          <w:bottom w:val="single" w:color="BABABA" w:sz="12"/>
          <w:left w:val="single" w:color="BABABA" w:sz="12"/>
          <w:right w:val="single" w:color="BABABA" w:sz="12"/>
          <w:insideH w:val="single" w:color="BABABA" w:sz="8"/>
          <w:insideV w:val="single" w:color="DADADA" w:sz="8"/>
        </w:tblBorders>
        <w:tblW w:w="0" w:type="auto"/>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POSLOVANJA (šifre 61+62+63+64+65+66+67+68)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1.837.825,05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2.029.997,58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110,5</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POSLOVANJA (šifre 31+32+34+35+36+37+38)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1.862.241,50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2.300.400,67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123,5</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POSLOVANJA (šifre Z005-6)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24.416,45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270.403,09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1107,5</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prodaje nefinancijske imovine (šifre 71+72+73+74)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nabavu nefinancijske imovine (šifre 41+42+43+44+45)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1.770,00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VIŠAK/MANJAK PRIHODA OD NEFINANCIJSKE IMOVINE (šifre 7-4, 4-7)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X002, Y002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1.770,00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Primici od financijske imovine i zaduživanja (šifre 81+82+83+84+85)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Izdaci za financijsku imovinu i otplate zajmova (šifre 51+52+53+54+55)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VIŠAK/MANJAK PRIMITAKA OD FINANCIJSKE IMOVINE I ZADUŽIVANJA (šifre 8-5, 5-8)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X003, Y003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I PRIMITAKA (šifre Y345-X678)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26.186,45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270.403,09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1032,6</w:t>
            </w:r>
          </w:p>
        </w:tc>
      </w:tr>
    </w:tbl>
    <w:p>
      <w:pPr>
        <w:spacing w:before="0" w:after="0"/>
      </w:pPr>
    </w:p>
    <w:p>
      <w:pPr>
        <w:jc w:val="both"/>
        <w:pStyle w:val="Normal"/>
        <w:spacing w:line="240" w:lineRule="auto"/>
      </w:pPr>
      <w:r>
        <w:rPr>
          <w:sz w:val="24"/>
          <w:rFonts w:ascii="Times New Roman" w:hAnsi="Times New Roman"/>
        </w:rPr>
        <w:t>U razdoblju od 1. siječnja do 30. lipnja 2025. ukupni prihodi poslovanja iznose 2.029.997,58 EUR, što predstavlja rast od 10,5 % u odnosu na isto razdoblje prošle
godine (1.837.825,05 eura). Rashodi poslovanja u istom razdoblju iznose 2.300.400,67 EUR, što je porast od 23,5 % u odnosu na prethodnu godinu (1.862.241,50 eura). U skladu s odredbama Pravilnika o proračunskom računovodstvu i računskom planu (NN 158/23 i 154/24),  čl. 233.  podskupina računa 193 Kontinuirani rashodi budućih razdoblja ukida se s danom 1. siječnja 2025. godine. Početno stanje kontinuiranih rashoda budućih razdoblja prenosi se na odgovarajuće račune razreda 3 Rashodi poslovanja. Ova promjena u računovodstvenoj politici znači ukidanje vremenskog razgraničenja prihoda i rashoda, pri čemu se svi rashodi priznaju u razdoblju nastanka, a prihodi isključivo po načelu naplate. Takav način evidentiranja izravno utječe na strukturu i iznose iskazanih stavki u financijskom izvještaju, posebno na rezultat poslovanja za tekuće razdoblje. U izvještajnom razdoblju 2025. godine, kao posljedica navedenih promjena, ostvaren je manjak prihoda i primitaka u odnosu na rashode i izdatke u iznosu od 270.403,09 eura.</w:t>
      </w:r>
    </w:p>
    <w:p>
      <w:r>
        <w:br/>
      </w:r>
    </w:p>
    <w:p>
      <w:pPr>
        <w:jc w:val="center"/>
        <w:pStyle w:val="Normal"/>
        <w:spacing w:line="240" w:lineRule="auto"/>
        <w:keepNext/>
      </w:pPr>
      <w:r>
        <w:rPr>
          <w:sz w:val="28"/>
          <w:rFonts w:ascii="Times New Roman" w:hAnsi="Times New Roman"/>
        </w:rPr>
        <w:t>Bilješka 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Pomoći iz inozemstva i od subjekata unutar općeg proračuna (šifre 631+632+633+634+635+636+637+638+639)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1.497.808,42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1.614.954,89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107,8</w:t>
            </w:r>
          </w:p>
        </w:tc>
      </w:tr>
    </w:tbl>
    <w:p>
      <w:pPr>
        <w:spacing w:before="0" w:after="0"/>
      </w:pPr>
    </w:p>
    <w:p>
      <w:pPr>
        <w:jc w:val="both"/>
        <w:pStyle w:val="Normal"/>
        <w:spacing w:line="240" w:lineRule="auto"/>
      </w:pPr>
      <w:r>
        <w:rPr>
          <w:sz w:val="24"/>
          <w:rFonts w:ascii="Times New Roman" w:hAnsi="Times New Roman"/>
        </w:rPr>
        <w:t>U razdoblju izvještavanja ostvaren je porast prihoda unutar općeg proračuna, pri čemu se najveći dio odnosi na uplate namijenjene za isplatu plaća i materijalnih prava zaposlenika sukladno važećim kolektivnim ugovorima. Također, značajan dio sredstava osiguran je za financiranje besplatne prehrane učenika te za troškove prijevoza učenika s teškoćama u razvoju.</w:t>
      </w:r>
    </w:p>
    <w:p/>
    <w:p>
      <w:pPr>
        <w:jc w:val="center"/>
        <w:pStyle w:val="Normal"/>
        <w:spacing w:line="240" w:lineRule="auto"/>
        <w:keepNext/>
      </w:pPr>
      <w:r>
        <w:rPr>
          <w:sz w:val="28"/>
          <w:rFonts w:ascii="Times New Roman" w:hAnsi="Times New Roman"/>
        </w:rPr>
        <w:t>Bilješka 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663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Donacije od pravnih i fizičkih osoba izvan općeg proračuna te povrat donacija i kapitalnih pomoći po protestiranim jamstvima (šifre 6631 do 6634)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663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520,00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w:t>
            </w:r>
          </w:p>
        </w:tc>
      </w:tr>
    </w:tbl>
    <w:p>
      <w:pPr>
        <w:spacing w:before="0" w:after="0"/>
      </w:pPr>
    </w:p>
    <w:p>
      <w:pPr>
        <w:jc w:val="both"/>
        <w:pStyle w:val="Normal"/>
        <w:spacing w:line="240" w:lineRule="auto"/>
      </w:pPr>
      <w:r>
        <w:rPr>
          <w:sz w:val="24"/>
          <w:rFonts w:ascii="Times New Roman" w:hAnsi="Times New Roman"/>
        </w:rPr>
        <w:t>Nije bilo donacija u izvještajnom razdoblju od 01.01.2025. do 30.06.2025.</w:t>
      </w:r>
    </w:p>
    <w:p/>
    <w:p>
      <w:pPr>
        <w:jc w:val="center"/>
        <w:pStyle w:val="Normal"/>
        <w:spacing w:line="240" w:lineRule="auto"/>
        <w:keepNext/>
      </w:pPr>
      <w:r>
        <w:rPr>
          <w:sz w:val="28"/>
          <w:rFonts w:ascii="Times New Roman" w:hAnsi="Times New Roman"/>
        </w:rPr>
        <w:t>Bilješka 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zaposlene (šifre 311+312+313)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1.387.883,06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1.764.602,13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127,1</w:t>
            </w:r>
          </w:p>
        </w:tc>
      </w:tr>
    </w:tbl>
    <w:p>
      <w:pPr>
        <w:spacing w:before="0" w:after="0"/>
      </w:pPr>
    </w:p>
    <w:p>
      <w:pPr>
        <w:jc w:val="both"/>
        <w:pStyle w:val="Normal"/>
        <w:spacing w:line="240" w:lineRule="auto"/>
      </w:pPr>
      <w:r>
        <w:rPr>
          <w:sz w:val="24"/>
          <w:rFonts w:ascii="Times New Roman" w:hAnsi="Times New Roman"/>
        </w:rPr>
        <w:t>Rashodi za zaposlene obuhvaćaju bruto plaće, naknade i druga materijalna prava zaposlenika u skladu s kolektivnim ugovorima i posebnim propisima. U tekućem razdoblju zabilježen je rast rashoda za zaposlene od 27,10% u odnosu na prethodnu godinu, što je posljedica povećanja plaća, isplate određenih materijalnih prava te redovitih usklađenja sukladno važećim propisima. U rashode tekuće godine uključen je i obračun plaće za mjesec lipanj, čija će isplata biti izvršena u srpnju, u skladu s važećim računovodstvenim načelima prema kojima se rashodi priznaju u razdoblju nastanka, neovisno o datumu isplate.</w:t>
      </w:r>
    </w:p>
    <w:p/>
    <w:p>
      <w:pPr>
        <w:jc w:val="center"/>
        <w:pStyle w:val="Normal"/>
        <w:spacing w:line="240" w:lineRule="auto"/>
        <w:keepNext/>
      </w:pPr>
      <w:r>
        <w:rPr>
          <w:sz w:val="28"/>
          <w:rFonts w:ascii="Times New Roman" w:hAnsi="Times New Roman"/>
        </w:rPr>
        <w:t>Bilješka 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3211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Službena putovanja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3211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2.391,02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4.010,94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167,8</w:t>
            </w:r>
          </w:p>
        </w:tc>
      </w:tr>
    </w:tbl>
    <w:p>
      <w:pPr>
        <w:spacing w:before="0" w:after="0"/>
      </w:pPr>
    </w:p>
    <w:p>
      <w:pPr>
        <w:jc w:val="both"/>
        <w:pStyle w:val="Normal"/>
        <w:spacing w:line="240" w:lineRule="auto"/>
      </w:pPr>
      <w:r>
        <w:rPr>
          <w:sz w:val="24"/>
          <w:rFonts w:ascii="Times New Roman" w:hAnsi="Times New Roman"/>
        </w:rPr>
        <w:t>Zabilježen porast troška službenih putovanja za 67,8% zbog ekskurzija 4. i 8. razreda, terenske nastave i jednodnevnih izleta učenika koji su se odvili u izvještajnom razdoblju.</w:t>
      </w:r>
    </w:p>
    <w:p/>
    <w:p>
      <w:pPr>
        <w:jc w:val="center"/>
        <w:pStyle w:val="Normal"/>
        <w:spacing w:line="240" w:lineRule="auto"/>
        <w:keepNext/>
      </w:pPr>
      <w:r>
        <w:rPr>
          <w:sz w:val="28"/>
          <w:rFonts w:ascii="Times New Roman" w:hAnsi="Times New Roman"/>
        </w:rPr>
        <w:t>Bilješka 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3227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Službena, radna i zaštitna odjeća i obuća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3227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292,48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1.516,02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518,3</w:t>
            </w:r>
          </w:p>
        </w:tc>
      </w:tr>
    </w:tbl>
    <w:p>
      <w:pPr>
        <w:spacing w:before="0" w:after="0"/>
      </w:pPr>
    </w:p>
    <w:p>
      <w:pPr>
        <w:jc w:val="both"/>
        <w:pStyle w:val="Normal"/>
        <w:spacing w:line="240" w:lineRule="auto"/>
      </w:pPr>
      <w:r>
        <w:rPr>
          <w:sz w:val="24"/>
          <w:rFonts w:ascii="Times New Roman" w:hAnsi="Times New Roman"/>
        </w:rPr>
        <w:t>Značajnije odstupanje u odnosu na isto razdoblje prošle godine zbog zapošljavanja novog domara i obnove dotrajale zaštitne, radne opreme već zaposlenim spremačicama i domarima.</w:t>
      </w:r>
    </w:p>
    <w:p/>
    <w:p>
      <w:pPr>
        <w:jc w:val="center"/>
        <w:pStyle w:val="Normal"/>
        <w:spacing w:line="240" w:lineRule="auto"/>
        <w:keepNext/>
      </w:pPr>
      <w:r>
        <w:rPr>
          <w:sz w:val="28"/>
          <w:rFonts w:ascii="Times New Roman" w:hAnsi="Times New Roman"/>
        </w:rPr>
        <w:t>Bilješka 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Usluge tekućeg i investicijskog održavanja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11.929,63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28.748,75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241,0</w:t>
            </w:r>
          </w:p>
        </w:tc>
      </w:tr>
    </w:tbl>
    <w:p>
      <w:pPr>
        <w:spacing w:before="0" w:after="0"/>
      </w:pPr>
    </w:p>
    <w:p>
      <w:pPr>
        <w:jc w:val="both"/>
        <w:pStyle w:val="Normal"/>
        <w:spacing w:line="240" w:lineRule="auto"/>
      </w:pPr>
      <w:r>
        <w:rPr>
          <w:sz w:val="24"/>
          <w:rFonts w:ascii="Times New Roman" w:hAnsi="Times New Roman"/>
        </w:rPr>
        <w:t>Zabilježen značajan porast u odnosu na isto razdoblje prošle godine zbog dotrajalosti pojedinih školskih objekata koji su zahtijevali hitne intervencije.</w:t>
      </w:r>
    </w:p>
    <w:p/>
    <w:p>
      <w:pPr>
        <w:jc w:val="center"/>
        <w:pStyle w:val="Normal"/>
        <w:spacing w:line="240" w:lineRule="auto"/>
        <w:keepNext/>
      </w:pPr>
      <w:r>
        <w:rPr>
          <w:sz w:val="28"/>
          <w:rFonts w:ascii="Times New Roman" w:hAnsi="Times New Roman"/>
        </w:rPr>
        <w:t>Bilješka 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Zdravstvene i veterinarske usluge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10.957,54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Prema Temeljnom kolektivnom ugovoru za zaposlenike u javnim službama koji su sklopili između ostalog i sindikati osnovnih škola i Vlada RH svi zaposlenici do 50 godina starosti svake 3 godine, a zaposlenici iznad 50 godina starosti svake 2 godine imaju pravo na sistematski pregled u vrijednosti od 160,00 eura. Kako se u prethodnim razdobljima ovo pravo nije koristilo zbog nedovoljnih sredstva dodijeljenih u izvoru 1201 OŠ Sredstva za DEC funkcije, škola je zbog opaske sindikata, a u dogovoru s osnivačem odlučila kroz 2025. financirati sistematske preglede za dio zaposlenika. Iz svega navedenog dolazi do značajnog povećanja na ovoj stavci.</w:t>
      </w:r>
    </w:p>
    <w:p/>
    <w:p>
      <w:pPr>
        <w:jc w:val="center"/>
        <w:pStyle w:val="Normal"/>
        <w:spacing w:line="240" w:lineRule="auto"/>
        <w:keepNext/>
      </w:pPr>
      <w:r>
        <w:rPr>
          <w:sz w:val="28"/>
          <w:rFonts w:ascii="Times New Roman" w:hAnsi="Times New Roman"/>
        </w:rPr>
        <w:t>Bilješka 9.</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Pristojbe i naknade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3.953,18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1.448,00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36,6</w:t>
            </w:r>
          </w:p>
        </w:tc>
      </w:tr>
    </w:tbl>
    <w:p>
      <w:pPr>
        <w:spacing w:before="0" w:after="0"/>
      </w:pPr>
    </w:p>
    <w:p>
      <w:pPr>
        <w:jc w:val="both"/>
        <w:pStyle w:val="Normal"/>
        <w:spacing w:line="240" w:lineRule="auto"/>
      </w:pPr>
      <w:r>
        <w:rPr>
          <w:sz w:val="24"/>
          <w:rFonts w:ascii="Times New Roman" w:hAnsi="Times New Roman"/>
        </w:rPr>
        <w:t>Navedena stavka odnosi se na naknadu zbog nezapošljavanja osoba sa invaliditetom. Kako je u 2025. g. zaposlen potreban broj osoba s invaliditetom nismo u obvezi više plaćati navedenu naknadu te imamo smanjenje u za 63,40% u odnosu na isto razdoblje prošle godine.</w:t>
      </w:r>
    </w:p>
    <w:p/>
    <w:p>
      <w:pPr>
        <w:jc w:val="center"/>
        <w:pStyle w:val="Normal"/>
        <w:spacing w:line="240" w:lineRule="auto"/>
        <w:keepNext/>
      </w:pPr>
      <w:r>
        <w:rPr>
          <w:sz w:val="28"/>
          <w:rFonts w:ascii="Times New Roman" w:hAnsi="Times New Roman"/>
        </w:rPr>
        <w:t>Bilješka 10.</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9661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prodaje proizvoda i robe i pruženih usluga - nenaplaćeni</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9661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1.801,14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1.175,50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65,3</w:t>
            </w:r>
          </w:p>
        </w:tc>
      </w:tr>
    </w:tbl>
    <w:p>
      <w:pPr>
        <w:spacing w:before="0" w:after="0"/>
      </w:pPr>
    </w:p>
    <w:p>
      <w:pPr>
        <w:jc w:val="both"/>
        <w:pStyle w:val="Normal"/>
        <w:spacing w:line="240" w:lineRule="auto"/>
      </w:pPr>
      <w:r>
        <w:rPr>
          <w:sz w:val="24"/>
          <w:rFonts w:ascii="Times New Roman" w:hAnsi="Times New Roman"/>
        </w:rPr>
        <w:t>Nenaplaćeni računi za vlastite prihode od iznajmljivanja sportske dvorane i najma prostora za tople i hladne napitke. Smanjeni za 34,7% u odnosu na isto razdoblje prošle godine zbog jednog korisnika iznajmljivanja sportske dvorane manje.</w:t>
      </w:r>
    </w:p>
    <w:p/>
    <w:p>
      <w:pPr>
        <w:jc w:val="center"/>
        <w:pStyle w:val="Normal"/>
        <w:spacing w:line="240" w:lineRule="auto"/>
        <w:keepNext/>
      </w:pPr>
      <w:r>
        <w:rPr>
          <w:sz w:val="28"/>
          <w:rFonts w:ascii="Times New Roman" w:hAnsi="Times New Roman"/>
        </w:rPr>
        <w:t>Bilješka 11.</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96, 97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Obračunati prihodi poslovanja i od prodaje nefinancijske imovine - nenaplaćeni (šifre 96+97)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96,97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1.811,59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253.612,04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&gt;&gt;100</w:t>
            </w:r>
          </w:p>
        </w:tc>
      </w:tr>
    </w:tbl>
    <w:p>
      <w:pPr>
        <w:spacing w:before="0" w:after="0"/>
      </w:pPr>
    </w:p>
    <w:p>
      <w:pPr>
        <w:jc w:val="both"/>
        <w:pStyle w:val="Normal"/>
        <w:spacing w:line="240" w:lineRule="auto"/>
      </w:pPr>
      <w:r>
        <w:rPr>
          <w:sz w:val="24"/>
          <w:rFonts w:ascii="Times New Roman" w:hAnsi="Times New Roman"/>
        </w:rPr>
        <w:t>Prema članku 161. st. 3. novog Pravilnika o proračunskom računovodstvu od 01.01.2025., proračunski korisnik drugog proračuna koji prima pomoć od proračuna koji mu nije nadležan temeljem izdanog akta (odluke, rješenja i slično) evidentira odgovarajući osnovni račun obračunatih prihoda u odjeljku 96 te zbog navedenog i imamo značajno odstupanje u odnosu na prošlu godinu</w:t>
      </w:r>
    </w:p>
    <w:p/>
    <w:p>
      <w:pPr>
        <w:jc w:val="center"/>
        <w:pStyle w:val="Normal"/>
        <w:spacing w:line="240" w:lineRule="auto"/>
        <w:keepNext/>
      </w:pPr>
      <w:r>
        <w:rPr>
          <w:sz w:val="28"/>
          <w:rFonts w:ascii="Times New Roman" w:hAnsi="Times New Roman"/>
        </w:rPr>
        <w:t>Bilješka 12.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63613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Tekuće pomoći proračunskim korisnicima iz proračuna JLP(R)S koji im nije nadležan</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63613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569,00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245,00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43,1</w:t>
            </w:r>
          </w:p>
        </w:tc>
      </w:tr>
    </w:tbl>
    <w:p>
      <w:pPr>
        <w:spacing w:before="0" w:after="0"/>
      </w:pPr>
    </w:p>
    <w:p>
      <w:pPr>
        <w:jc w:val="both"/>
        <w:pStyle w:val="Normal"/>
        <w:spacing w:line="240" w:lineRule="auto"/>
      </w:pPr>
      <w:r>
        <w:rPr>
          <w:sz w:val="24"/>
          <w:rFonts w:ascii="Times New Roman" w:hAnsi="Times New Roman"/>
        </w:rPr>
        <w:t>Navedeni prihod odnosi se na sredstva za voditelje županijskih stručnih vijeća. U istom razdoblju prošle godine smo imali dva voditelja županijskog stručnog vijeća, u 2025. g. samo jednog te je zbog navedenog ostvaren pad prihoda od 56,9%</w:t>
      </w:r>
    </w:p>
    <w:p/>
    <w:p>
      <w:pPr>
        <w:jc w:val="center"/>
        <w:pStyle w:val="Normal"/>
        <w:spacing w:line="240" w:lineRule="auto"/>
        <w:keepNext/>
      </w:pPr>
      <w:r>
        <w:rPr>
          <w:sz w:val="28"/>
          <w:rFonts w:ascii="Times New Roman" w:hAnsi="Times New Roman"/>
        </w:rPr>
        <w:t>Bilješka 13.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31214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Otpremnine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31214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6.159,90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Povećanje u odnosu na isto razdoblje prošle godine zbog odlaska dva zaposlenika u mirovinu. U istom razdoblju prošle godine navedeni trošak nismo imali. Ovakav trošak kao i trošak pomoći kod bolesti duže od 90 dana  ili za novorođeno dijete nije moguće planirati te su na navedenim stavkama nerijetko značajna odstupanja.</w:t>
      </w:r>
    </w:p>
    <w:p/>
    <w:p>
      <w:pPr>
        <w:jc w:val="center"/>
        <w:pStyle w:val="Normal"/>
        <w:spacing w:line="240" w:lineRule="auto"/>
        <w:keepNext/>
      </w:pPr>
      <w:r>
        <w:rPr>
          <w:sz w:val="28"/>
          <w:rFonts w:ascii="Times New Roman" w:hAnsi="Times New Roman"/>
        </w:rPr>
        <w:t>Bilješka 14.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37219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Ostale naknade iz proračuna u novcu</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37219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740,34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1.532,76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207,0</w:t>
            </w:r>
          </w:p>
        </w:tc>
      </w:tr>
    </w:tbl>
    <w:p>
      <w:pPr>
        <w:spacing w:before="0" w:after="0"/>
      </w:pPr>
    </w:p>
    <w:p>
      <w:pPr>
        <w:jc w:val="both"/>
        <w:pStyle w:val="Normal"/>
        <w:spacing w:line="240" w:lineRule="auto"/>
      </w:pPr>
      <w:r>
        <w:rPr>
          <w:sz w:val="24"/>
          <w:rFonts w:ascii="Times New Roman" w:hAnsi="Times New Roman"/>
        </w:rPr>
        <w:t>Odnosi na sredstva od MZOM za prijevoz i didaktičku opremu učenicima sa teškoćama u razvoju. Navedena stavka je povećana u odnosu na prošlu godinu zbog novog učenika s teškoćama u razvoju čiji je putni trošak značajno veći od ostale djece koja imaju navedeno pravo.</w:t>
      </w:r>
    </w:p>
    <w:p/>
    <w:p>
      <w:pPr>
        <w:jc w:val="center"/>
        <w:pStyle w:val="Normal"/>
        <w:spacing w:line="240" w:lineRule="auto"/>
        <w:keepNext/>
      </w:pPr>
      <w:r>
        <w:rPr>
          <w:b/>
          <w:sz w:val="28"/>
          <w:rFonts w:ascii="Times New Roman" w:hAnsi="Times New Roman"/>
        </w:rPr>
        <w:t>Izvještaj o obvezama</w:t>
      </w:r>
    </w:p>
    <w:p>
      <w:pPr>
        <w:jc w:val="center"/>
        <w:pStyle w:val="Normal"/>
        <w:spacing w:line="240" w:lineRule="auto"/>
        <w:keepNext/>
      </w:pPr>
      <w:r>
        <w:rPr>
          <w:sz w:val="28"/>
          <w:rFonts w:ascii="Times New Roman" w:hAnsi="Times New Roman"/>
        </w:rPr>
        <w:t>Bilješka 15.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Stanje dospjelih obveza na kraju izvještajnog razdoblja (šifre V008+D23+D24 + 'D dio 25,26' + D27)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V007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Na dan 30.06.2025. stanje dospjelih obveza iznosi 0,00 EUR, a odnosi se isključivo na obveze čije je dospijeće bilo 30. lipnja 2025. ili ranije. Sukladno navedenom, sve  obveze prema dobavljačima, zaposlenicima ili drugim vjerovnicima čije je dospijeće bilo 30.lipnja 2025. ili ranije su do tada i podmirene. Sva dugovanja nastala tijekom razdoblja podmirena su do dana izvještaja, a eventualne obveze s dospijećem nakon 30.06.2025. iskazane su u okviru nedospjelih obveza. Stanje obveza na kraju izvještajnog razdoblja je 308.933,75 eura, a odnose se na troškove zaposlenika (plaće i doprinosi),  materijalne troškove i obveze proračunskih korisnika za povrat u proračun  - bolovanje  na teret HZZO-a. Kroz srpanj će biti podmirene obveze za isplatu plaće zaposlenima i pomoćnicima u nastavi, obveze za materijalne rashode, a obveze prema HZZO refundacije za bolovanja se zatvaraju prema obavijesti Ministarstva financija.
</w:t>
      </w:r>
    </w:p>
    <w:p/>
    <w:p>
      <w:pPr>
        <w:jc w:val="center"/>
        <w:pStyle w:val="Normal"/>
        <w:spacing w:line="240" w:lineRule="auto"/>
        <w:keepNext/>
      </w:pPr>
      <w:r>
        <w:rPr>
          <w:sz w:val="28"/>
          <w:rFonts w:ascii="Times New Roman" w:hAnsi="Times New Roman"/>
        </w:rPr>
        <w:t>Bilješka 16.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Stanje nedospjelih obveza na kraju izvještajnog razdoblja (šifre V010 + ND23 + ND24 + 'ND dio 25,26' + ND27)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V009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308.933,75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Stanje nedospjelih obveza na kraju izvještajnog razdoblja čine obveze nastale zaključno sa 30. lipnja 2025., ali nisu dospjele do 30. lipnja 2025. Podatak koji se unosi predstavlja potražni saldo računa obveza na 30. lipnja 2025. koji dospijeva na plaćanje u budućim razdobljima</w:t>
      </w:r>
    </w:p>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styles>
</file>

<file path=word/_rels/document.xml.rels>&#65279;<?xml version="1.0" encoding="utf-8"?><Relationships xmlns="http://schemas.openxmlformats.org/package/2006/relationships"><Relationship Type="http://schemas.openxmlformats.org/officeDocument/2006/relationships/styles" Target="/word/styles.xml" Id="R1af04281e6324efc" /></Relationships>
</file>